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40" w:lineRule="atLeast"/>
        <w:jc w:val="center"/>
        <w:rPr>
          <w:rFonts w:hint="eastAsia" w:ascii="仿宋" w:hAnsi="仿宋" w:eastAsia="仿宋" w:cs="黑体"/>
          <w:color w:val="000000"/>
          <w:sz w:val="32"/>
          <w:szCs w:val="32"/>
        </w:rPr>
      </w:pPr>
    </w:p>
    <w:p>
      <w:pPr>
        <w:spacing w:line="240" w:lineRule="atLeast"/>
        <w:jc w:val="center"/>
        <w:rPr>
          <w:rFonts w:hint="eastAsia" w:ascii="仿宋" w:hAnsi="仿宋" w:eastAsia="仿宋" w:cs="黑体"/>
          <w:color w:val="000000"/>
          <w:sz w:val="32"/>
          <w:szCs w:val="32"/>
        </w:rPr>
      </w:pPr>
    </w:p>
    <w:p>
      <w:pPr>
        <w:spacing w:line="240" w:lineRule="atLeast"/>
        <w:jc w:val="center"/>
        <w:rPr>
          <w:rFonts w:hint="eastAsia" w:ascii="仿宋" w:hAnsi="仿宋" w:eastAsia="仿宋" w:cs="黑体"/>
          <w:color w:val="000000"/>
          <w:sz w:val="32"/>
          <w:szCs w:val="32"/>
        </w:rPr>
      </w:pPr>
    </w:p>
    <w:p>
      <w:pPr>
        <w:spacing w:line="240" w:lineRule="atLeast"/>
        <w:jc w:val="center"/>
        <w:rPr>
          <w:rFonts w:hint="eastAsia" w:ascii="仿宋" w:hAnsi="仿宋" w:eastAsia="仿宋" w:cs="黑体"/>
          <w:color w:val="000000"/>
          <w:sz w:val="32"/>
          <w:szCs w:val="32"/>
        </w:rPr>
      </w:pPr>
    </w:p>
    <w:p>
      <w:pPr>
        <w:spacing w:line="240" w:lineRule="atLeast"/>
        <w:jc w:val="center"/>
        <w:rPr>
          <w:rFonts w:hint="eastAsia" w:ascii="仿宋" w:hAnsi="仿宋" w:eastAsia="仿宋" w:cs="黑体"/>
          <w:color w:val="000000"/>
          <w:sz w:val="32"/>
          <w:szCs w:val="32"/>
        </w:rPr>
      </w:pPr>
    </w:p>
    <w:p>
      <w:pPr>
        <w:spacing w:line="240" w:lineRule="atLeast"/>
        <w:jc w:val="center"/>
        <w:rPr>
          <w:rFonts w:hint="eastAsia" w:ascii="仿宋" w:hAnsi="仿宋" w:eastAsia="仿宋"/>
          <w:color w:val="000000"/>
          <w:sz w:val="32"/>
          <w:szCs w:val="32"/>
        </w:rPr>
      </w:pPr>
      <w:r>
        <w:rPr>
          <w:rFonts w:hint="eastAsia" w:ascii="仿宋" w:hAnsi="仿宋" w:eastAsia="仿宋" w:cs="黑体"/>
          <w:color w:val="000000"/>
          <w:sz w:val="32"/>
          <w:szCs w:val="32"/>
        </w:rPr>
        <w:t>沪民航院〔2019〕</w:t>
      </w:r>
      <w:r>
        <w:rPr>
          <w:rFonts w:ascii="仿宋" w:hAnsi="仿宋" w:eastAsia="仿宋" w:cs="黑体"/>
          <w:color w:val="000000"/>
          <w:sz w:val="32"/>
          <w:szCs w:val="32"/>
        </w:rPr>
        <w:t>79</w:t>
      </w:r>
      <w:r>
        <w:rPr>
          <w:rFonts w:hint="eastAsia" w:ascii="仿宋" w:hAnsi="仿宋" w:eastAsia="仿宋" w:cs="黑体"/>
          <w:color w:val="000000"/>
          <w:sz w:val="32"/>
          <w:szCs w:val="32"/>
        </w:rPr>
        <w:t>号</w:t>
      </w:r>
    </w:p>
    <w:p>
      <w:pPr>
        <w:spacing w:line="0" w:lineRule="atLeast"/>
        <w:rPr>
          <w:rFonts w:ascii="方正小标宋简体" w:hAnsi="方正小标宋简体" w:eastAsia="方正小标宋简体" w:cs="方正小标宋简体"/>
          <w:bCs/>
          <w:color w:val="FF0000"/>
          <w:spacing w:val="20"/>
          <w:w w:val="85"/>
          <w:kern w:val="0"/>
        </w:rPr>
      </w:pPr>
    </w:p>
    <w:p>
      <w:pPr>
        <w:spacing w:line="0" w:lineRule="atLeast"/>
        <w:rPr>
          <w:rFonts w:hint="eastAsia" w:ascii="方正小标宋简体" w:hAnsi="方正小标宋简体" w:eastAsia="方正小标宋简体" w:cs="方正小标宋简体"/>
          <w:bCs/>
          <w:color w:val="FF0000"/>
          <w:spacing w:val="20"/>
          <w:w w:val="85"/>
          <w:kern w:val="0"/>
        </w:rPr>
      </w:pPr>
    </w:p>
    <w:p>
      <w:pPr>
        <w:spacing w:line="560" w:lineRule="exact"/>
        <w:jc w:val="center"/>
        <w:rPr>
          <w:rFonts w:ascii="方正小标宋简体" w:hAnsi="宋体" w:eastAsia="方正小标宋简体" w:cs="宋体"/>
          <w:sz w:val="44"/>
          <w:szCs w:val="44"/>
        </w:rPr>
      </w:pPr>
      <w:bookmarkStart w:id="0" w:name="发文字号"/>
      <w:bookmarkEnd w:id="0"/>
      <w:r>
        <w:rPr>
          <w:rFonts w:hint="eastAsia" w:ascii="方正小标宋简体" w:hAnsi="宋体" w:eastAsia="方正小标宋简体" w:cs="宋体"/>
          <w:sz w:val="44"/>
          <w:szCs w:val="44"/>
        </w:rPr>
        <w:t>关于印发《上海民航职业技术学院</w:t>
      </w:r>
    </w:p>
    <w:p>
      <w:pPr>
        <w:spacing w:line="560" w:lineRule="exact"/>
        <w:jc w:val="center"/>
        <w:rPr>
          <w:rFonts w:hint="eastAsia" w:ascii="方正小标宋简体" w:hAnsi="宋体" w:eastAsia="方正小标宋简体" w:cs="宋体"/>
          <w:sz w:val="44"/>
          <w:szCs w:val="44"/>
        </w:rPr>
      </w:pPr>
      <w:r>
        <w:rPr>
          <w:rFonts w:hint="eastAsia" w:ascii="方正小标宋简体" w:hAnsi="宋体" w:eastAsia="方正小标宋简体" w:cs="宋体"/>
          <w:sz w:val="44"/>
          <w:szCs w:val="44"/>
        </w:rPr>
        <w:t>公务卡管理暂行办法》的通知</w:t>
      </w:r>
    </w:p>
    <w:p>
      <w:pPr>
        <w:spacing w:line="560" w:lineRule="exact"/>
        <w:jc w:val="center"/>
        <w:rPr>
          <w:rFonts w:hint="eastAsia" w:ascii="方正小标宋简体" w:hAnsi="方正小标宋简体" w:eastAsia="方正小标宋简体" w:cs="方正小标宋简体"/>
          <w:sz w:val="36"/>
          <w:szCs w:val="36"/>
        </w:rPr>
      </w:pPr>
    </w:p>
    <w:p>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仿宋" w:hAnsi="仿宋" w:eastAsia="仿宋"/>
          <w:color w:val="000000"/>
          <w:sz w:val="32"/>
          <w:szCs w:val="32"/>
          <w:lang w:val="en-US" w:eastAsia="zh-CN"/>
        </w:rPr>
      </w:pPr>
      <w:r>
        <w:rPr>
          <w:rFonts w:hint="eastAsia" w:ascii="仿宋" w:hAnsi="仿宋" w:eastAsia="仿宋"/>
          <w:color w:val="000000"/>
          <w:sz w:val="32"/>
          <w:szCs w:val="32"/>
          <w:lang w:val="en-US" w:eastAsia="zh-CN"/>
        </w:rPr>
        <w:t>各部门：</w:t>
      </w:r>
    </w:p>
    <w:p>
      <w:pPr>
        <w:spacing w:line="560" w:lineRule="exact"/>
        <w:ind w:firstLine="640" w:firstLineChars="200"/>
        <w:rPr>
          <w:rFonts w:hint="eastAsia" w:ascii="仿宋" w:hAnsi="仿宋" w:eastAsia="仿宋"/>
          <w:color w:val="000000"/>
          <w:sz w:val="32"/>
          <w:szCs w:val="32"/>
          <w:lang w:val="en-US" w:eastAsia="zh-CN"/>
        </w:rPr>
      </w:pPr>
      <w:r>
        <w:rPr>
          <w:rFonts w:hint="eastAsia" w:ascii="仿宋" w:hAnsi="仿宋" w:eastAsia="仿宋"/>
          <w:color w:val="000000"/>
          <w:sz w:val="32"/>
          <w:szCs w:val="32"/>
          <w:lang w:val="en-US" w:eastAsia="zh-CN"/>
        </w:rPr>
        <w:t>现将《上海民航职业技术学院公务卡管理暂行办法》印发给你们，请认真贯彻执行。</w:t>
      </w:r>
    </w:p>
    <w:p>
      <w:pPr>
        <w:spacing w:line="520" w:lineRule="exact"/>
        <w:ind w:firstLine="640" w:firstLineChars="200"/>
        <w:rPr>
          <w:rFonts w:ascii="仿宋" w:hAnsi="仿宋" w:eastAsia="仿宋" w:cs="黑体"/>
          <w:sz w:val="32"/>
          <w:szCs w:val="32"/>
        </w:rPr>
      </w:pPr>
      <w:r>
        <w:rPr>
          <w:rFonts w:hint="eastAsia" w:ascii="黑体" w:hAnsi="黑体" w:eastAsia="黑体" w:cs="黑体"/>
          <w:sz w:val="32"/>
          <w:szCs w:val="32"/>
        </w:rPr>
        <w:t>附件：</w:t>
      </w:r>
      <w:r>
        <w:rPr>
          <w:rFonts w:hint="eastAsia" w:ascii="仿宋" w:hAnsi="仿宋" w:eastAsia="仿宋" w:cs="黑体"/>
          <w:sz w:val="32"/>
          <w:szCs w:val="32"/>
        </w:rPr>
        <w:t>上海民航职业技术学院公务卡管理暂行办法</w:t>
      </w:r>
    </w:p>
    <w:p>
      <w:pPr>
        <w:spacing w:line="520" w:lineRule="exact"/>
        <w:ind w:firstLine="640" w:firstLineChars="200"/>
        <w:rPr>
          <w:rFonts w:hint="eastAsia" w:ascii="仿宋" w:hAnsi="仿宋" w:eastAsia="仿宋" w:cs="黑体"/>
          <w:sz w:val="32"/>
          <w:szCs w:val="32"/>
        </w:rPr>
      </w:pPr>
      <w:r>
        <w:rPr>
          <w:rFonts w:hint="eastAsia" w:ascii="仿宋" w:hAnsi="仿宋" w:eastAsia="仿宋" w:cs="黑体"/>
          <w:sz w:val="32"/>
          <w:szCs w:val="32"/>
        </w:rPr>
        <w:t xml:space="preserve">     </w:t>
      </w:r>
    </w:p>
    <w:p>
      <w:pPr>
        <w:spacing w:line="520" w:lineRule="exact"/>
        <w:ind w:firstLine="420" w:firstLineChars="200"/>
        <w:rPr>
          <w:rFonts w:hint="eastAsia" w:ascii="仿宋" w:hAnsi="仿宋" w:eastAsia="仿宋" w:cs="黑体"/>
        </w:rPr>
      </w:pPr>
    </w:p>
    <w:p>
      <w:pPr>
        <w:spacing w:line="520" w:lineRule="exact"/>
        <w:ind w:firstLine="420" w:firstLineChars="200"/>
        <w:rPr>
          <w:rFonts w:hint="eastAsia" w:ascii="仿宋" w:hAnsi="仿宋" w:eastAsia="仿宋" w:cs="黑体"/>
        </w:rPr>
      </w:pPr>
    </w:p>
    <w:p>
      <w:pPr>
        <w:spacing w:line="520" w:lineRule="exact"/>
        <w:ind w:firstLine="420" w:firstLineChars="200"/>
        <w:rPr>
          <w:rFonts w:hint="eastAsia" w:ascii="仿宋" w:hAnsi="仿宋" w:eastAsia="仿宋" w:cs="黑体"/>
        </w:rPr>
      </w:pPr>
    </w:p>
    <w:p>
      <w:pPr>
        <w:adjustRightInd w:val="0"/>
        <w:snapToGrid w:val="0"/>
        <w:spacing w:line="560" w:lineRule="exact"/>
        <w:jc w:val="center"/>
        <w:rPr>
          <w:rFonts w:ascii="仿宋" w:hAnsi="仿宋" w:eastAsia="仿宋" w:cs="仿宋"/>
          <w:sz w:val="32"/>
          <w:szCs w:val="32"/>
        </w:rPr>
      </w:pPr>
      <w:r>
        <w:rPr>
          <w:rFonts w:hint="eastAsia" w:ascii="仿宋" w:hAnsi="仿宋" w:eastAsia="仿宋" w:cs="仿宋"/>
        </w:rPr>
        <w:t xml:space="preserve">            </w:t>
      </w:r>
      <w:r>
        <w:rPr>
          <w:rFonts w:ascii="仿宋" w:hAnsi="仿宋" w:eastAsia="仿宋" w:cs="仿宋"/>
          <w:sz w:val="32"/>
          <w:szCs w:val="32"/>
        </w:rPr>
        <w:t xml:space="preserve">  </w:t>
      </w:r>
      <w:r>
        <w:rPr>
          <w:rFonts w:hint="eastAsia" w:ascii="仿宋" w:hAnsi="仿宋" w:eastAsia="仿宋" w:cs="仿宋"/>
          <w:sz w:val="32"/>
          <w:szCs w:val="32"/>
        </w:rPr>
        <w:t xml:space="preserve">  上海民航职业技术学院</w:t>
      </w:r>
    </w:p>
    <w:p>
      <w:pPr>
        <w:spacing w:line="520" w:lineRule="exact"/>
        <w:ind w:firstLine="640" w:firstLineChars="200"/>
        <w:rPr>
          <w:rFonts w:ascii="仿宋" w:hAnsi="仿宋" w:eastAsia="仿宋" w:cs="仿宋"/>
          <w:sz w:val="32"/>
          <w:szCs w:val="32"/>
        </w:rPr>
      </w:pPr>
      <w:r>
        <w:rPr>
          <w:rFonts w:hint="eastAsia" w:ascii="仿宋" w:hAnsi="仿宋" w:eastAsia="仿宋" w:cs="仿宋"/>
          <w:sz w:val="32"/>
          <w:szCs w:val="32"/>
        </w:rPr>
        <w:t xml:space="preserve">                     2019年7月3日</w:t>
      </w:r>
    </w:p>
    <w:p>
      <w:pPr>
        <w:spacing w:line="520" w:lineRule="exact"/>
        <w:ind w:firstLine="640" w:firstLineChars="200"/>
        <w:rPr>
          <w:rFonts w:ascii="仿宋" w:hAnsi="仿宋" w:eastAsia="仿宋" w:cs="仿宋"/>
          <w:sz w:val="32"/>
          <w:szCs w:val="32"/>
        </w:rPr>
      </w:pPr>
    </w:p>
    <w:p>
      <w:pPr>
        <w:spacing w:line="520" w:lineRule="exact"/>
        <w:ind w:firstLine="420" w:firstLineChars="200"/>
        <w:rPr>
          <w:rFonts w:ascii="仿宋" w:hAnsi="仿宋" w:eastAsia="仿宋" w:cs="仿宋"/>
        </w:rPr>
      </w:pPr>
    </w:p>
    <w:p>
      <w:pPr>
        <w:spacing w:line="520" w:lineRule="exact"/>
        <w:ind w:firstLine="420" w:firstLineChars="200"/>
        <w:rPr>
          <w:rFonts w:ascii="仿宋" w:hAnsi="仿宋" w:eastAsia="仿宋" w:cs="仿宋"/>
        </w:rPr>
      </w:pPr>
    </w:p>
    <w:p>
      <w:pPr>
        <w:spacing w:line="520" w:lineRule="exact"/>
        <w:ind w:firstLine="420" w:firstLineChars="200"/>
        <w:rPr>
          <w:rFonts w:ascii="仿宋" w:hAnsi="仿宋" w:eastAsia="仿宋" w:cs="仿宋"/>
        </w:rPr>
      </w:pPr>
    </w:p>
    <w:p>
      <w:pPr>
        <w:spacing w:line="560" w:lineRule="exact"/>
        <w:rPr>
          <w:rFonts w:ascii="黑体" w:hAnsi="黑体" w:eastAsia="黑体" w:cs="黑体"/>
          <w:sz w:val="32"/>
          <w:szCs w:val="32"/>
        </w:rPr>
      </w:pPr>
      <w:r>
        <w:rPr>
          <w:rFonts w:hint="eastAsia" w:ascii="黑体" w:hAnsi="黑体" w:eastAsia="黑体" w:cs="黑体"/>
          <w:sz w:val="32"/>
          <w:szCs w:val="32"/>
        </w:rPr>
        <w:t>附件</w:t>
      </w:r>
    </w:p>
    <w:p>
      <w:pPr>
        <w:spacing w:line="560" w:lineRule="exact"/>
        <w:jc w:val="center"/>
        <w:rPr>
          <w:rFonts w:hint="eastAsia" w:ascii="方正小标宋简体" w:hAnsi="宋体" w:eastAsia="方正小标宋简体" w:cs="宋体"/>
          <w:sz w:val="44"/>
          <w:szCs w:val="44"/>
        </w:rPr>
      </w:pPr>
      <w:r>
        <w:rPr>
          <w:rFonts w:hint="eastAsia" w:ascii="方正小标宋简体" w:hAnsi="宋体" w:eastAsia="方正小标宋简体" w:cs="宋体"/>
          <w:sz w:val="44"/>
          <w:szCs w:val="44"/>
        </w:rPr>
        <w:t>上海民航职业技术学院公务卡</w:t>
      </w:r>
    </w:p>
    <w:p>
      <w:pPr>
        <w:spacing w:line="560" w:lineRule="exact"/>
        <w:jc w:val="center"/>
        <w:rPr>
          <w:rFonts w:ascii="方正小标宋简体" w:hAnsi="宋体" w:eastAsia="方正小标宋简体" w:cs="宋体"/>
          <w:sz w:val="44"/>
          <w:szCs w:val="44"/>
        </w:rPr>
      </w:pPr>
      <w:r>
        <w:rPr>
          <w:rFonts w:hint="eastAsia" w:ascii="方正小标宋简体" w:hAnsi="宋体" w:eastAsia="方正小标宋简体" w:cs="宋体"/>
          <w:sz w:val="44"/>
          <w:szCs w:val="44"/>
        </w:rPr>
        <w:t>管理暂行办法</w:t>
      </w:r>
    </w:p>
    <w:p>
      <w:pPr>
        <w:spacing w:line="560" w:lineRule="exact"/>
        <w:jc w:val="center"/>
        <w:rPr>
          <w:rFonts w:ascii="黑体" w:hAnsi="黑体" w:eastAsia="黑体" w:cs="黑体"/>
        </w:rPr>
      </w:pPr>
    </w:p>
    <w:p>
      <w:pPr>
        <w:spacing w:line="560" w:lineRule="exact"/>
        <w:ind w:firstLine="640" w:firstLineChars="200"/>
        <w:jc w:val="both"/>
        <w:rPr>
          <w:rFonts w:ascii="黑体" w:hAnsi="黑体" w:eastAsia="黑体" w:cs="黑体"/>
          <w:sz w:val="32"/>
          <w:szCs w:val="32"/>
        </w:rPr>
      </w:pPr>
      <w:r>
        <w:rPr>
          <w:rFonts w:hint="eastAsia" w:ascii="黑体" w:hAnsi="黑体" w:eastAsia="黑体" w:cs="黑体"/>
          <w:sz w:val="32"/>
          <w:szCs w:val="32"/>
        </w:rPr>
        <w:t>一、 总则</w:t>
      </w:r>
    </w:p>
    <w:p>
      <w:pPr>
        <w:spacing w:line="560" w:lineRule="exact"/>
        <w:ind w:firstLine="640" w:firstLineChars="200"/>
        <w:rPr>
          <w:rFonts w:ascii="仿宋" w:hAnsi="仿宋" w:eastAsia="仿宋" w:cs="黑体"/>
          <w:sz w:val="32"/>
          <w:szCs w:val="32"/>
        </w:rPr>
      </w:pPr>
      <w:r>
        <w:rPr>
          <w:rFonts w:hint="eastAsia" w:ascii="仿宋" w:hAnsi="仿宋" w:eastAsia="仿宋" w:cs="黑体"/>
          <w:sz w:val="32"/>
          <w:szCs w:val="32"/>
        </w:rPr>
        <w:t>第一条</w:t>
      </w:r>
      <w:r>
        <w:rPr>
          <w:rFonts w:ascii="仿宋" w:hAnsi="仿宋" w:eastAsia="仿宋" w:cs="黑体"/>
          <w:sz w:val="32"/>
          <w:szCs w:val="32"/>
        </w:rPr>
        <w:t xml:space="preserve">  </w:t>
      </w:r>
      <w:r>
        <w:rPr>
          <w:rFonts w:hint="eastAsia" w:ascii="仿宋" w:hAnsi="仿宋" w:eastAsia="仿宋" w:cs="黑体"/>
          <w:sz w:val="32"/>
          <w:szCs w:val="32"/>
        </w:rPr>
        <w:t>为加强学院公务成本控制管理，减少现金支付结算和现金流量</w:t>
      </w:r>
      <w:r>
        <w:rPr>
          <w:rFonts w:ascii="仿宋" w:hAnsi="仿宋" w:eastAsia="仿宋" w:cs="黑体"/>
          <w:sz w:val="32"/>
          <w:szCs w:val="32"/>
        </w:rPr>
        <w:t>，</w:t>
      </w:r>
      <w:r>
        <w:rPr>
          <w:rFonts w:hint="eastAsia" w:ascii="仿宋" w:hAnsi="仿宋" w:eastAsia="仿宋" w:cs="黑体"/>
          <w:sz w:val="32"/>
          <w:szCs w:val="32"/>
        </w:rPr>
        <w:t>规范经费支出结算行为，进一步提高财务管理水平，根据《财政部</w:t>
      </w:r>
      <w:r>
        <w:rPr>
          <w:rFonts w:ascii="仿宋" w:hAnsi="仿宋" w:eastAsia="仿宋" w:cs="黑体"/>
          <w:sz w:val="32"/>
          <w:szCs w:val="32"/>
        </w:rPr>
        <w:t xml:space="preserve"> </w:t>
      </w:r>
      <w:r>
        <w:rPr>
          <w:rFonts w:hint="eastAsia" w:ascii="仿宋" w:hAnsi="仿宋" w:eastAsia="仿宋" w:cs="黑体"/>
          <w:sz w:val="32"/>
          <w:szCs w:val="32"/>
        </w:rPr>
        <w:t>中国人民银行关于印发〈中央预算单位公务卡管理暂行办法〉的通知》（财库〔2007〕63号）、《关于印发&lt;公务卡强制结算目录&gt;》（民航财发〔</w:t>
      </w:r>
      <w:r>
        <w:rPr>
          <w:rFonts w:ascii="仿宋" w:hAnsi="仿宋" w:eastAsia="仿宋" w:cs="黑体"/>
          <w:sz w:val="32"/>
          <w:szCs w:val="32"/>
        </w:rPr>
        <w:t>20</w:t>
      </w:r>
      <w:r>
        <w:rPr>
          <w:rFonts w:hint="eastAsia" w:ascii="仿宋" w:hAnsi="仿宋" w:eastAsia="仿宋" w:cs="黑体"/>
          <w:sz w:val="32"/>
          <w:szCs w:val="32"/>
        </w:rPr>
        <w:t>11〕38号）、《关于加快推进公务卡制度改革的通知》（财库〔2012〕132号）、《关于中央财政科研项目使用公务卡结算有关事项的通知》（财库〔2015〕245号）、《民航局转发财政部关于进一步完善中央财政科技和教育资金预算执行管理有关事项的通知》（民航财发〔2019〕16号）等文件规定，结合学院实际情况，特制定本办法。</w:t>
      </w:r>
    </w:p>
    <w:p>
      <w:pPr>
        <w:spacing w:line="560" w:lineRule="exact"/>
        <w:ind w:firstLine="640" w:firstLineChars="200"/>
        <w:rPr>
          <w:rFonts w:hint="eastAsia" w:ascii="仿宋" w:hAnsi="仿宋" w:eastAsia="仿宋" w:cs="黑体"/>
          <w:sz w:val="32"/>
          <w:szCs w:val="32"/>
        </w:rPr>
      </w:pPr>
      <w:r>
        <w:rPr>
          <w:rFonts w:hint="eastAsia" w:ascii="仿宋" w:hAnsi="仿宋" w:eastAsia="仿宋" w:cs="黑体"/>
          <w:sz w:val="32"/>
          <w:szCs w:val="32"/>
        </w:rPr>
        <w:t>第二条</w:t>
      </w:r>
      <w:r>
        <w:rPr>
          <w:rFonts w:ascii="仿宋" w:hAnsi="仿宋" w:eastAsia="仿宋" w:cs="黑体"/>
          <w:sz w:val="32"/>
          <w:szCs w:val="32"/>
        </w:rPr>
        <w:t xml:space="preserve">  </w:t>
      </w:r>
      <w:r>
        <w:rPr>
          <w:rFonts w:hint="eastAsia" w:ascii="仿宋" w:hAnsi="仿宋" w:eastAsia="仿宋" w:cs="黑体"/>
          <w:sz w:val="32"/>
          <w:szCs w:val="32"/>
        </w:rPr>
        <w:t>公务卡的性质和办理范围</w:t>
      </w:r>
    </w:p>
    <w:p>
      <w:pPr>
        <w:spacing w:line="560" w:lineRule="exact"/>
        <w:ind w:firstLine="640" w:firstLineChars="200"/>
        <w:rPr>
          <w:rFonts w:hint="eastAsia" w:ascii="仿宋" w:hAnsi="仿宋" w:eastAsia="仿宋" w:cs="黑体"/>
          <w:sz w:val="32"/>
          <w:szCs w:val="32"/>
        </w:rPr>
      </w:pPr>
      <w:r>
        <w:rPr>
          <w:rFonts w:hint="eastAsia" w:ascii="仿宋" w:hAnsi="仿宋" w:eastAsia="仿宋" w:cs="黑体"/>
          <w:sz w:val="32"/>
          <w:szCs w:val="32"/>
        </w:rPr>
        <w:t>（一）本办法所称公务卡是指学院在职在岗工作人员持有的且主要用于日常公务支出和财务报销业务的信用卡。</w:t>
      </w:r>
    </w:p>
    <w:p>
      <w:pPr>
        <w:spacing w:line="560" w:lineRule="exact"/>
        <w:ind w:firstLine="640" w:firstLineChars="200"/>
        <w:rPr>
          <w:rFonts w:ascii="仿宋" w:hAnsi="仿宋" w:eastAsia="仿宋" w:cs="黑体"/>
          <w:sz w:val="32"/>
          <w:szCs w:val="32"/>
        </w:rPr>
      </w:pPr>
      <w:r>
        <w:rPr>
          <w:rFonts w:hint="eastAsia" w:ascii="仿宋" w:hAnsi="仿宋" w:eastAsia="仿宋" w:cs="黑体"/>
          <w:sz w:val="32"/>
          <w:szCs w:val="32"/>
        </w:rPr>
        <w:t>（二）公务卡结算是学院教职工在公务活动中使用公务卡刷卡消费，在规定的期限内按现行财务制度审核后报销还款的方式。</w:t>
      </w:r>
    </w:p>
    <w:p>
      <w:pPr>
        <w:spacing w:line="560" w:lineRule="exact"/>
        <w:ind w:firstLine="640" w:firstLineChars="200"/>
        <w:rPr>
          <w:rFonts w:ascii="仿宋" w:hAnsi="仿宋" w:eastAsia="仿宋" w:cs="黑体"/>
          <w:sz w:val="32"/>
          <w:szCs w:val="32"/>
        </w:rPr>
      </w:pPr>
      <w:r>
        <w:rPr>
          <w:rFonts w:hint="eastAsia" w:ascii="仿宋" w:hAnsi="仿宋" w:eastAsia="仿宋" w:cs="黑体"/>
          <w:sz w:val="32"/>
          <w:szCs w:val="32"/>
        </w:rPr>
        <w:t>（三）公务卡办理的范围为学院在职在岗的正式教职工。</w:t>
      </w:r>
    </w:p>
    <w:p>
      <w:pPr>
        <w:spacing w:line="560" w:lineRule="exact"/>
        <w:ind w:firstLine="640" w:firstLineChars="200"/>
        <w:rPr>
          <w:rFonts w:ascii="仿宋" w:hAnsi="仿宋" w:eastAsia="仿宋" w:cs="黑体"/>
          <w:sz w:val="32"/>
          <w:szCs w:val="32"/>
        </w:rPr>
      </w:pPr>
      <w:r>
        <w:rPr>
          <w:rFonts w:hint="eastAsia" w:ascii="仿宋" w:hAnsi="仿宋" w:eastAsia="仿宋" w:cs="黑体"/>
          <w:sz w:val="32"/>
          <w:szCs w:val="32"/>
        </w:rPr>
        <w:t>（四）对于参与科研项目1年以上，并负责科研经费支出报销业务的项目外聘人员，由外聘人员与项目负责人共同申请，经教务（科研）处和计划财务处批准后，可以办理公务卡。</w:t>
      </w:r>
    </w:p>
    <w:p>
      <w:pPr>
        <w:spacing w:line="560" w:lineRule="exact"/>
        <w:ind w:firstLine="640" w:firstLineChars="200"/>
        <w:rPr>
          <w:rFonts w:hint="eastAsia" w:ascii="仿宋" w:hAnsi="仿宋" w:eastAsia="仿宋" w:cs="黑体"/>
          <w:sz w:val="32"/>
          <w:szCs w:val="32"/>
        </w:rPr>
      </w:pPr>
      <w:r>
        <w:rPr>
          <w:rFonts w:hint="eastAsia" w:ascii="仿宋" w:hAnsi="仿宋" w:eastAsia="仿宋" w:cs="黑体"/>
          <w:sz w:val="32"/>
          <w:szCs w:val="32"/>
        </w:rPr>
        <w:t>第三条</w:t>
      </w:r>
      <w:r>
        <w:rPr>
          <w:rFonts w:ascii="仿宋" w:hAnsi="仿宋" w:eastAsia="仿宋" w:cs="黑体"/>
          <w:sz w:val="32"/>
          <w:szCs w:val="32"/>
        </w:rPr>
        <w:t xml:space="preserve">  </w:t>
      </w:r>
      <w:r>
        <w:rPr>
          <w:rFonts w:hint="eastAsia" w:ascii="仿宋" w:hAnsi="仿宋" w:eastAsia="仿宋" w:cs="黑体"/>
          <w:sz w:val="32"/>
          <w:szCs w:val="32"/>
        </w:rPr>
        <w:t>原使用现金结算的公务支出，包括办公费、差旅费、会议费、培训费等，应当使用公务卡结算（具体项目详见《关于印发&lt;公务卡强制结算目录&gt;的通知》）。原通过银行结算方式（支票、汇款、转账等）支付的继续沿用。</w:t>
      </w:r>
    </w:p>
    <w:p>
      <w:pPr>
        <w:spacing w:line="560" w:lineRule="exact"/>
        <w:ind w:firstLine="640" w:firstLineChars="200"/>
        <w:rPr>
          <w:rFonts w:ascii="仿宋" w:hAnsi="仿宋" w:eastAsia="仿宋" w:cs="黑体"/>
          <w:sz w:val="32"/>
          <w:szCs w:val="32"/>
        </w:rPr>
      </w:pPr>
      <w:r>
        <w:rPr>
          <w:rFonts w:hint="eastAsia" w:ascii="仿宋" w:hAnsi="仿宋" w:eastAsia="仿宋" w:cs="黑体"/>
          <w:sz w:val="32"/>
          <w:szCs w:val="32"/>
        </w:rPr>
        <w:t>第四条 下列情况可暂不使用公务卡结算：在县级以下（不包括县级）地区发生的公务支出；在县级及县级以上地区不具备刷卡条件的场所发生的单笔消费在200元以下的公务支出；按规定支付给个人的支出；签证费、快递费、过桥过路费、出租车费用等目前只能使用现金结算的支出。</w:t>
      </w:r>
    </w:p>
    <w:p>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二、</w:t>
      </w:r>
      <w:r>
        <w:rPr>
          <w:rFonts w:ascii="黑体" w:hAnsi="黑体" w:eastAsia="黑体" w:cs="黑体"/>
          <w:sz w:val="32"/>
          <w:szCs w:val="32"/>
        </w:rPr>
        <w:t xml:space="preserve"> </w:t>
      </w:r>
      <w:r>
        <w:rPr>
          <w:rFonts w:hint="eastAsia" w:ascii="黑体" w:hAnsi="黑体" w:eastAsia="黑体" w:cs="黑体"/>
          <w:sz w:val="32"/>
          <w:szCs w:val="32"/>
        </w:rPr>
        <w:t>公务卡日常管理</w:t>
      </w:r>
    </w:p>
    <w:p>
      <w:pPr>
        <w:spacing w:line="560" w:lineRule="exact"/>
        <w:ind w:firstLine="640" w:firstLineChars="200"/>
        <w:rPr>
          <w:rFonts w:ascii="仿宋" w:hAnsi="仿宋" w:eastAsia="仿宋" w:cs="黑体"/>
          <w:sz w:val="32"/>
          <w:szCs w:val="32"/>
        </w:rPr>
      </w:pPr>
      <w:r>
        <w:rPr>
          <w:rFonts w:hint="eastAsia" w:ascii="仿宋" w:hAnsi="仿宋" w:eastAsia="仿宋" w:cs="黑体"/>
          <w:sz w:val="32"/>
          <w:szCs w:val="32"/>
        </w:rPr>
        <w:t>第五条</w:t>
      </w:r>
      <w:r>
        <w:rPr>
          <w:rFonts w:ascii="仿宋" w:hAnsi="仿宋" w:eastAsia="仿宋" w:cs="黑体"/>
          <w:sz w:val="32"/>
          <w:szCs w:val="32"/>
        </w:rPr>
        <w:t xml:space="preserve">  </w:t>
      </w:r>
      <w:r>
        <w:rPr>
          <w:rFonts w:hint="eastAsia" w:ascii="仿宋" w:hAnsi="仿宋" w:eastAsia="仿宋" w:cs="黑体"/>
          <w:sz w:val="32"/>
          <w:szCs w:val="32"/>
        </w:rPr>
        <w:t>公务卡开立的基本程序</w:t>
      </w:r>
    </w:p>
    <w:p>
      <w:pPr>
        <w:spacing w:line="560" w:lineRule="exact"/>
        <w:ind w:firstLine="640" w:firstLineChars="200"/>
        <w:rPr>
          <w:rFonts w:ascii="仿宋" w:hAnsi="仿宋" w:eastAsia="仿宋" w:cs="黑体"/>
          <w:sz w:val="32"/>
          <w:szCs w:val="32"/>
        </w:rPr>
      </w:pPr>
      <w:r>
        <w:rPr>
          <w:rFonts w:hint="eastAsia" w:ascii="仿宋" w:hAnsi="仿宋" w:eastAsia="仿宋" w:cs="黑体"/>
          <w:sz w:val="32"/>
          <w:szCs w:val="32"/>
        </w:rPr>
        <w:t>（一）以部门为单位，如实填写“公务卡申请表”等资料，连同身份证复印件等资料一起交学院计划财务处。</w:t>
      </w:r>
    </w:p>
    <w:p>
      <w:pPr>
        <w:spacing w:line="560" w:lineRule="exact"/>
        <w:ind w:firstLine="640" w:firstLineChars="200"/>
        <w:rPr>
          <w:rFonts w:ascii="仿宋" w:hAnsi="仿宋" w:eastAsia="仿宋" w:cs="黑体"/>
          <w:sz w:val="32"/>
          <w:szCs w:val="32"/>
        </w:rPr>
      </w:pPr>
      <w:r>
        <w:rPr>
          <w:rFonts w:hint="eastAsia" w:ascii="仿宋" w:hAnsi="仿宋" w:eastAsia="仿宋" w:cs="黑体"/>
          <w:sz w:val="32"/>
          <w:szCs w:val="32"/>
        </w:rPr>
        <w:t>（二）计划财务处对申请开卡教职工的相关资料进行确认并集中送发卡行；发卡行按规定程序审核职工申请资料并办理公务卡。</w:t>
      </w:r>
    </w:p>
    <w:p>
      <w:pPr>
        <w:spacing w:line="560" w:lineRule="exact"/>
        <w:ind w:firstLine="640" w:firstLineChars="200"/>
        <w:rPr>
          <w:rFonts w:ascii="仿宋" w:hAnsi="仿宋" w:eastAsia="仿宋" w:cs="黑体"/>
          <w:sz w:val="32"/>
          <w:szCs w:val="32"/>
        </w:rPr>
      </w:pPr>
      <w:r>
        <w:rPr>
          <w:rFonts w:hint="eastAsia" w:ascii="仿宋" w:hAnsi="仿宋" w:eastAsia="仿宋" w:cs="黑体"/>
          <w:sz w:val="32"/>
          <w:szCs w:val="32"/>
        </w:rPr>
        <w:t>（三）发卡行将公务卡和必要的相关资料发给教职工。</w:t>
      </w:r>
    </w:p>
    <w:p>
      <w:pPr>
        <w:spacing w:line="560" w:lineRule="exact"/>
        <w:ind w:firstLine="640" w:firstLineChars="200"/>
        <w:rPr>
          <w:rFonts w:ascii="仿宋" w:hAnsi="仿宋" w:eastAsia="仿宋" w:cs="黑体"/>
          <w:sz w:val="32"/>
          <w:szCs w:val="32"/>
        </w:rPr>
      </w:pPr>
      <w:r>
        <w:rPr>
          <w:rFonts w:hint="eastAsia" w:ascii="仿宋" w:hAnsi="仿宋" w:eastAsia="仿宋" w:cs="黑体"/>
          <w:sz w:val="32"/>
          <w:szCs w:val="32"/>
        </w:rPr>
        <w:t>第六条</w:t>
      </w:r>
      <w:r>
        <w:rPr>
          <w:rFonts w:ascii="仿宋" w:hAnsi="仿宋" w:eastAsia="仿宋" w:cs="黑体"/>
          <w:sz w:val="32"/>
          <w:szCs w:val="32"/>
        </w:rPr>
        <w:t xml:space="preserve">  </w:t>
      </w:r>
      <w:r>
        <w:rPr>
          <w:rFonts w:hint="eastAsia" w:ascii="仿宋" w:hAnsi="仿宋" w:eastAsia="仿宋" w:cs="黑体"/>
          <w:sz w:val="32"/>
          <w:szCs w:val="32"/>
        </w:rPr>
        <w:t>如出现人员新增、调动或者离退休，人事处应及时通知计划财务处办理公务卡的申领或停止使用等手续。持卡人因调离、离退休等原因离开学院，须按要求及时还清债务，结清余额并注销公务卡。</w:t>
      </w:r>
    </w:p>
    <w:p>
      <w:pPr>
        <w:spacing w:line="560" w:lineRule="exact"/>
        <w:ind w:firstLine="640" w:firstLineChars="200"/>
        <w:rPr>
          <w:rFonts w:hint="eastAsia" w:ascii="仿宋" w:hAnsi="仿宋" w:eastAsia="仿宋" w:cs="黑体"/>
          <w:sz w:val="32"/>
          <w:szCs w:val="32"/>
        </w:rPr>
      </w:pPr>
      <w:r>
        <w:rPr>
          <w:rFonts w:hint="eastAsia" w:ascii="仿宋" w:hAnsi="仿宋" w:eastAsia="仿宋" w:cs="黑体"/>
          <w:sz w:val="32"/>
          <w:szCs w:val="32"/>
        </w:rPr>
        <w:t>第七条</w:t>
      </w:r>
      <w:r>
        <w:rPr>
          <w:rFonts w:ascii="仿宋" w:hAnsi="仿宋" w:eastAsia="仿宋" w:cs="黑体"/>
          <w:sz w:val="32"/>
          <w:szCs w:val="32"/>
        </w:rPr>
        <w:t xml:space="preserve">  </w:t>
      </w:r>
      <w:r>
        <w:rPr>
          <w:rFonts w:hint="eastAsia" w:ascii="仿宋" w:hAnsi="仿宋" w:eastAsia="仿宋" w:cs="黑体"/>
          <w:sz w:val="32"/>
          <w:szCs w:val="32"/>
        </w:rPr>
        <w:t>公务卡的卡片和密码均由个人负责保管。公务卡遗失或损毁后的补办等事项由个人自行到发卡行申请办理，并及时通知计划财务处。</w:t>
      </w:r>
    </w:p>
    <w:p>
      <w:pPr>
        <w:spacing w:line="560" w:lineRule="exact"/>
        <w:ind w:firstLine="640" w:firstLineChars="200"/>
        <w:rPr>
          <w:rFonts w:hint="eastAsia" w:ascii="仿宋" w:hAnsi="仿宋" w:eastAsia="仿宋" w:cs="黑体"/>
          <w:sz w:val="32"/>
          <w:szCs w:val="32"/>
        </w:rPr>
      </w:pPr>
      <w:r>
        <w:rPr>
          <w:rFonts w:hint="eastAsia" w:ascii="仿宋" w:hAnsi="仿宋" w:eastAsia="仿宋" w:cs="黑体"/>
          <w:sz w:val="32"/>
          <w:szCs w:val="32"/>
        </w:rPr>
        <w:t>第八条  公务卡的信用额度，由发卡银行根据个人资信情况，结合持卡人职务、职称、工作需求等设定。持卡人在规定的信用额度和免息还款期（发生公务支出次月25日前）内先支付，后还款。</w:t>
      </w:r>
      <w:r>
        <w:rPr>
          <w:rFonts w:ascii="仿宋" w:hAnsi="仿宋" w:eastAsia="仿宋" w:cs="黑体"/>
          <w:sz w:val="32"/>
          <w:szCs w:val="32"/>
        </w:rPr>
        <w:t xml:space="preserve"> </w:t>
      </w:r>
    </w:p>
    <w:p>
      <w:pPr>
        <w:spacing w:line="560" w:lineRule="exact"/>
        <w:ind w:firstLine="640" w:firstLineChars="200"/>
        <w:rPr>
          <w:rFonts w:hint="eastAsia" w:ascii="仿宋" w:hAnsi="仿宋" w:eastAsia="仿宋" w:cs="黑体"/>
          <w:sz w:val="32"/>
          <w:szCs w:val="32"/>
        </w:rPr>
      </w:pPr>
      <w:r>
        <w:rPr>
          <w:rFonts w:hint="eastAsia" w:ascii="仿宋" w:hAnsi="仿宋" w:eastAsia="仿宋" w:cs="黑体"/>
          <w:sz w:val="32"/>
          <w:szCs w:val="32"/>
        </w:rPr>
        <w:t>第九条  公务卡免费开卡、免收年费，卡片挂失、补办、更换新卡免收手续费，公务卡内的存款在上海市内的工商银行取现金免收手续费，发卡行免费为持卡人发送余额变动短信。</w:t>
      </w:r>
    </w:p>
    <w:p>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三、公务卡支付管理</w:t>
      </w:r>
    </w:p>
    <w:p>
      <w:pPr>
        <w:spacing w:line="560" w:lineRule="exact"/>
        <w:ind w:firstLine="640" w:firstLineChars="200"/>
        <w:rPr>
          <w:rFonts w:ascii="仿宋" w:hAnsi="仿宋" w:eastAsia="仿宋" w:cs="黑体"/>
          <w:sz w:val="32"/>
          <w:szCs w:val="32"/>
        </w:rPr>
      </w:pPr>
      <w:r>
        <w:rPr>
          <w:rFonts w:hint="eastAsia" w:ascii="仿宋" w:hAnsi="仿宋" w:eastAsia="仿宋" w:cs="黑体"/>
          <w:sz w:val="32"/>
          <w:szCs w:val="32"/>
        </w:rPr>
        <w:t>第十条</w:t>
      </w:r>
      <w:r>
        <w:rPr>
          <w:rFonts w:ascii="仿宋" w:hAnsi="仿宋" w:eastAsia="仿宋" w:cs="黑体"/>
          <w:sz w:val="32"/>
          <w:szCs w:val="32"/>
        </w:rPr>
        <w:t xml:space="preserve"> </w:t>
      </w:r>
      <w:r>
        <w:rPr>
          <w:rFonts w:hint="eastAsia" w:ascii="仿宋" w:hAnsi="仿宋" w:eastAsia="仿宋" w:cs="黑体"/>
          <w:sz w:val="32"/>
          <w:szCs w:val="32"/>
        </w:rPr>
        <w:t>对于差旅、会议、小额购买等公务支出，使用公务卡结算的，应在公务卡信用额度内，先通过公务卡结算，并须取得发票等财务报销凭证和有关银行卡消费凭证（</w:t>
      </w:r>
      <w:r>
        <w:rPr>
          <w:rFonts w:ascii="仿宋" w:hAnsi="仿宋" w:eastAsia="仿宋" w:cs="黑体"/>
          <w:sz w:val="32"/>
          <w:szCs w:val="32"/>
        </w:rPr>
        <w:t>POS</w:t>
      </w:r>
      <w:r>
        <w:rPr>
          <w:rFonts w:hint="eastAsia" w:ascii="仿宋" w:hAnsi="仿宋" w:eastAsia="仿宋" w:cs="黑体"/>
          <w:sz w:val="32"/>
          <w:szCs w:val="32"/>
        </w:rPr>
        <w:t>机小票）。</w:t>
      </w:r>
      <w:r>
        <w:rPr>
          <w:rFonts w:ascii="仿宋" w:hAnsi="仿宋" w:eastAsia="仿宋" w:cs="黑体"/>
          <w:sz w:val="32"/>
          <w:szCs w:val="32"/>
        </w:rPr>
        <w:t xml:space="preserve"> </w:t>
      </w:r>
    </w:p>
    <w:p>
      <w:pPr>
        <w:spacing w:line="560" w:lineRule="exact"/>
        <w:ind w:firstLine="640" w:firstLineChars="200"/>
        <w:rPr>
          <w:rFonts w:ascii="仿宋" w:hAnsi="仿宋" w:eastAsia="仿宋" w:cs="黑体"/>
          <w:sz w:val="32"/>
          <w:szCs w:val="32"/>
        </w:rPr>
      </w:pPr>
      <w:r>
        <w:rPr>
          <w:rFonts w:hint="eastAsia" w:ascii="仿宋" w:hAnsi="仿宋" w:eastAsia="仿宋" w:cs="黑体"/>
          <w:sz w:val="32"/>
          <w:szCs w:val="32"/>
        </w:rPr>
        <w:t>第十一条 持卡人在执行公务中不允许通过公务卡透支提取现金，原则上不允许用于个人消费。</w:t>
      </w:r>
    </w:p>
    <w:p>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四、公务卡财务报销管理</w:t>
      </w:r>
    </w:p>
    <w:p>
      <w:pPr>
        <w:spacing w:line="560" w:lineRule="exact"/>
        <w:ind w:firstLine="640" w:firstLineChars="200"/>
        <w:rPr>
          <w:rFonts w:ascii="仿宋" w:hAnsi="仿宋" w:eastAsia="仿宋" w:cs="黑体"/>
          <w:sz w:val="32"/>
          <w:szCs w:val="32"/>
        </w:rPr>
      </w:pPr>
      <w:r>
        <w:rPr>
          <w:rFonts w:hint="eastAsia" w:ascii="仿宋" w:hAnsi="仿宋" w:eastAsia="仿宋" w:cs="黑体"/>
          <w:sz w:val="32"/>
          <w:szCs w:val="32"/>
        </w:rPr>
        <w:t>第十二条</w:t>
      </w:r>
      <w:r>
        <w:rPr>
          <w:rFonts w:ascii="仿宋" w:hAnsi="仿宋" w:eastAsia="仿宋" w:cs="黑体"/>
          <w:sz w:val="32"/>
          <w:szCs w:val="32"/>
        </w:rPr>
        <w:t xml:space="preserve">  </w:t>
      </w:r>
      <w:r>
        <w:rPr>
          <w:rFonts w:hint="eastAsia" w:ascii="仿宋" w:hAnsi="仿宋" w:eastAsia="仿宋" w:cs="黑体"/>
          <w:sz w:val="32"/>
          <w:szCs w:val="32"/>
        </w:rPr>
        <w:t>公务卡财务报销的程序</w:t>
      </w:r>
    </w:p>
    <w:p>
      <w:pPr>
        <w:spacing w:line="560" w:lineRule="exact"/>
        <w:ind w:firstLine="640" w:firstLineChars="200"/>
        <w:rPr>
          <w:rFonts w:ascii="仿宋" w:hAnsi="仿宋" w:eastAsia="仿宋" w:cs="黑体"/>
          <w:sz w:val="32"/>
          <w:szCs w:val="32"/>
        </w:rPr>
      </w:pPr>
      <w:r>
        <w:rPr>
          <w:rFonts w:hint="eastAsia" w:ascii="仿宋" w:hAnsi="仿宋" w:eastAsia="仿宋" w:cs="黑体"/>
          <w:sz w:val="32"/>
          <w:szCs w:val="32"/>
        </w:rPr>
        <w:t>（一）使用公务卡结算，不改变学院目前财务管理制度和报销审批程序。</w:t>
      </w:r>
    </w:p>
    <w:p>
      <w:pPr>
        <w:spacing w:line="560" w:lineRule="exact"/>
        <w:ind w:firstLine="640" w:firstLineChars="200"/>
        <w:rPr>
          <w:rFonts w:ascii="仿宋" w:hAnsi="仿宋" w:eastAsia="仿宋" w:cs="黑体"/>
          <w:sz w:val="32"/>
          <w:szCs w:val="32"/>
        </w:rPr>
      </w:pPr>
      <w:r>
        <w:rPr>
          <w:rFonts w:hint="eastAsia" w:ascii="仿宋" w:hAnsi="仿宋" w:eastAsia="仿宋" w:cs="黑体"/>
          <w:sz w:val="32"/>
          <w:szCs w:val="32"/>
        </w:rPr>
        <w:t>（二）持卡人使用公务卡消费结算的各项公务支出，必须在学院规定的日期内，到计划财务处报销。因个人报销不及时造成的罚息、滞纳金等相关费用，由持卡人承担。</w:t>
      </w:r>
      <w:r>
        <w:rPr>
          <w:rFonts w:ascii="仿宋" w:hAnsi="仿宋" w:eastAsia="仿宋" w:cs="黑体"/>
          <w:sz w:val="32"/>
          <w:szCs w:val="32"/>
        </w:rPr>
        <w:t xml:space="preserve"> </w:t>
      </w:r>
    </w:p>
    <w:p>
      <w:pPr>
        <w:spacing w:line="560" w:lineRule="exact"/>
        <w:ind w:firstLine="640" w:firstLineChars="200"/>
        <w:rPr>
          <w:rFonts w:ascii="仿宋" w:hAnsi="仿宋" w:eastAsia="仿宋" w:cs="黑体"/>
          <w:sz w:val="32"/>
          <w:szCs w:val="32"/>
        </w:rPr>
      </w:pPr>
      <w:r>
        <w:rPr>
          <w:rFonts w:hint="eastAsia" w:ascii="仿宋" w:hAnsi="仿宋" w:eastAsia="仿宋" w:cs="黑体"/>
          <w:sz w:val="32"/>
          <w:szCs w:val="32"/>
        </w:rPr>
        <w:t>（三）报销人携带发票等财务报销凭证与公务卡消费凭证（</w:t>
      </w:r>
      <w:r>
        <w:rPr>
          <w:rFonts w:ascii="仿宋" w:hAnsi="仿宋" w:eastAsia="仿宋" w:cs="黑体"/>
          <w:sz w:val="32"/>
          <w:szCs w:val="32"/>
        </w:rPr>
        <w:t>POS</w:t>
      </w:r>
      <w:r>
        <w:rPr>
          <w:rFonts w:hint="eastAsia" w:ascii="仿宋" w:hAnsi="仿宋" w:eastAsia="仿宋" w:cs="黑体"/>
          <w:sz w:val="32"/>
          <w:szCs w:val="32"/>
        </w:rPr>
        <w:t>机小票），按财务报销程序进行报销。</w:t>
      </w:r>
    </w:p>
    <w:p>
      <w:pPr>
        <w:spacing w:line="560" w:lineRule="exact"/>
        <w:ind w:firstLine="640" w:firstLineChars="200"/>
        <w:rPr>
          <w:rFonts w:ascii="仿宋" w:hAnsi="仿宋" w:eastAsia="仿宋" w:cs="黑体"/>
          <w:sz w:val="32"/>
          <w:szCs w:val="32"/>
        </w:rPr>
      </w:pPr>
      <w:r>
        <w:rPr>
          <w:rFonts w:hint="eastAsia" w:ascii="仿宋" w:hAnsi="仿宋" w:eastAsia="仿宋" w:cs="黑体"/>
          <w:sz w:val="32"/>
          <w:szCs w:val="32"/>
        </w:rPr>
        <w:t>（四）确因工作需要，持卡人不能在规定的免息还款期内返回学院办理报销手续的，持卡人本人（或委托他人）可在免息还款期内将公务支出金额的资金存入公务卡中；也可由持卡人或其所在部门相关人员在免息还款期到期日前向计划财务处提供持卡人姓名、交易日期和每笔交易金额的详细信息，办理相关借款手续，经学院领导及计划财务处审核批准，先将资金存入公务卡，持卡人返回单位后按规定时间补办报销手续。</w:t>
      </w:r>
    </w:p>
    <w:p>
      <w:pPr>
        <w:spacing w:line="560" w:lineRule="exact"/>
        <w:ind w:firstLine="640" w:firstLineChars="200"/>
        <w:rPr>
          <w:rFonts w:hint="eastAsia" w:ascii="仿宋" w:hAnsi="仿宋" w:eastAsia="仿宋" w:cs="黑体"/>
          <w:sz w:val="32"/>
          <w:szCs w:val="32"/>
        </w:rPr>
      </w:pPr>
      <w:r>
        <w:rPr>
          <w:rFonts w:hint="eastAsia" w:ascii="仿宋" w:hAnsi="仿宋" w:eastAsia="仿宋" w:cs="黑体"/>
          <w:sz w:val="32"/>
          <w:szCs w:val="32"/>
        </w:rPr>
        <w:t>（五）为避免因特殊原因，公务卡还款不及时，给持卡人产生透支利息、滞纳金以及个人不良信用记录等，建议持卡人将本人在上海市内工商银行开户的银行借记卡或活期存折作为公务卡指定自动转账还款账户，实在不能及时报销还款时，授权发卡行在到期还款日当天，从个人银行借记卡或活期存折中自动扣划公务卡的应还金额（到期还款日当天，借记卡或活期存折应有足够余额），事后再按正常报销程序办理报销手续。</w:t>
      </w:r>
    </w:p>
    <w:p>
      <w:pPr>
        <w:spacing w:line="560" w:lineRule="exact"/>
        <w:ind w:firstLine="640" w:firstLineChars="200"/>
        <w:rPr>
          <w:rFonts w:ascii="仿宋" w:hAnsi="仿宋" w:eastAsia="仿宋" w:cs="黑体"/>
          <w:sz w:val="32"/>
          <w:szCs w:val="32"/>
        </w:rPr>
      </w:pPr>
      <w:r>
        <w:rPr>
          <w:rFonts w:hint="eastAsia" w:ascii="仿宋" w:hAnsi="仿宋" w:eastAsia="仿宋" w:cs="黑体"/>
          <w:sz w:val="32"/>
          <w:szCs w:val="32"/>
        </w:rPr>
        <w:t>（六）计划财务处工作人员登录公务卡支持系统，根据持卡人提供的姓名、交易日期和消费金额等信息，查询核对公务消费的真实性，审核确认后批准报销。</w:t>
      </w:r>
      <w:r>
        <w:rPr>
          <w:rFonts w:ascii="仿宋" w:hAnsi="仿宋" w:eastAsia="仿宋" w:cs="黑体"/>
          <w:sz w:val="32"/>
          <w:szCs w:val="32"/>
        </w:rPr>
        <w:t xml:space="preserve"> </w:t>
      </w:r>
    </w:p>
    <w:p>
      <w:pPr>
        <w:spacing w:line="560" w:lineRule="exact"/>
        <w:ind w:firstLine="640" w:firstLineChars="200"/>
        <w:rPr>
          <w:rFonts w:ascii="仿宋" w:hAnsi="仿宋" w:eastAsia="仿宋" w:cs="黑体"/>
          <w:sz w:val="32"/>
          <w:szCs w:val="32"/>
        </w:rPr>
      </w:pPr>
      <w:r>
        <w:rPr>
          <w:rFonts w:hint="eastAsia" w:ascii="仿宋" w:hAnsi="仿宋" w:eastAsia="仿宋" w:cs="黑体"/>
          <w:sz w:val="32"/>
          <w:szCs w:val="32"/>
        </w:rPr>
        <w:t>第十三条</w:t>
      </w:r>
      <w:r>
        <w:rPr>
          <w:rFonts w:ascii="仿宋" w:hAnsi="仿宋" w:eastAsia="仿宋" w:cs="黑体"/>
          <w:sz w:val="32"/>
          <w:szCs w:val="32"/>
        </w:rPr>
        <w:t xml:space="preserve">  </w:t>
      </w:r>
      <w:r>
        <w:rPr>
          <w:rFonts w:hint="eastAsia" w:ascii="仿宋" w:hAnsi="仿宋" w:eastAsia="仿宋" w:cs="黑体"/>
          <w:sz w:val="32"/>
          <w:szCs w:val="32"/>
        </w:rPr>
        <w:t>公务卡财务报销的时限</w:t>
      </w:r>
    </w:p>
    <w:p>
      <w:pPr>
        <w:spacing w:line="560" w:lineRule="exact"/>
        <w:ind w:firstLine="640" w:firstLineChars="200"/>
        <w:rPr>
          <w:rFonts w:ascii="仿宋" w:hAnsi="仿宋" w:eastAsia="仿宋" w:cs="黑体"/>
          <w:sz w:val="32"/>
          <w:szCs w:val="32"/>
        </w:rPr>
      </w:pPr>
      <w:r>
        <w:rPr>
          <w:rFonts w:hint="eastAsia" w:ascii="仿宋" w:hAnsi="仿宋" w:eastAsia="仿宋" w:cs="黑体"/>
          <w:sz w:val="32"/>
          <w:szCs w:val="32"/>
        </w:rPr>
        <w:t>持卡人使用公务卡消费结算的各项公务支出，须在发生公务支出的次月15日前将报销发票等凭证投递到学院“网上预约报销自助投递系统”的柜子里。因个人报销不及时造成的罚息、滞纳金等相关费用，以及由此带来对个人资信的影响，由持卡人承担。</w:t>
      </w:r>
    </w:p>
    <w:p>
      <w:pPr>
        <w:spacing w:line="560" w:lineRule="exact"/>
        <w:ind w:firstLine="640" w:firstLineChars="200"/>
        <w:rPr>
          <w:rFonts w:ascii="仿宋" w:hAnsi="仿宋" w:eastAsia="仿宋" w:cs="黑体"/>
          <w:sz w:val="32"/>
          <w:szCs w:val="32"/>
        </w:rPr>
      </w:pPr>
      <w:r>
        <w:rPr>
          <w:rFonts w:hint="eastAsia" w:ascii="仿宋" w:hAnsi="仿宋" w:eastAsia="仿宋" w:cs="黑体"/>
          <w:sz w:val="32"/>
          <w:szCs w:val="32"/>
        </w:rPr>
        <w:t>第十四条</w:t>
      </w:r>
      <w:r>
        <w:rPr>
          <w:rFonts w:ascii="仿宋" w:hAnsi="仿宋" w:eastAsia="仿宋" w:cs="黑体"/>
          <w:sz w:val="32"/>
          <w:szCs w:val="32"/>
        </w:rPr>
        <w:t xml:space="preserve">  </w:t>
      </w:r>
      <w:r>
        <w:rPr>
          <w:rFonts w:hint="eastAsia" w:ascii="仿宋" w:hAnsi="仿宋" w:eastAsia="仿宋" w:cs="黑体"/>
          <w:sz w:val="32"/>
          <w:szCs w:val="32"/>
        </w:rPr>
        <w:t>有下列情形之一的，所产生费用由持卡人个人承担，不予报销，单位不承担私人消费行为引起的一切法律责任：</w:t>
      </w:r>
    </w:p>
    <w:p>
      <w:pPr>
        <w:spacing w:line="560" w:lineRule="exact"/>
        <w:ind w:firstLine="640" w:firstLineChars="200"/>
        <w:rPr>
          <w:rFonts w:ascii="仿宋" w:hAnsi="仿宋" w:eastAsia="仿宋" w:cs="黑体"/>
          <w:sz w:val="32"/>
          <w:szCs w:val="32"/>
        </w:rPr>
      </w:pPr>
      <w:r>
        <w:rPr>
          <w:rFonts w:hint="eastAsia" w:ascii="仿宋" w:hAnsi="仿宋" w:eastAsia="仿宋" w:cs="黑体"/>
          <w:sz w:val="32"/>
          <w:szCs w:val="32"/>
        </w:rPr>
        <w:t>（一）使用公务卡用于个人消费的部分。</w:t>
      </w:r>
    </w:p>
    <w:p>
      <w:pPr>
        <w:spacing w:line="560" w:lineRule="exact"/>
        <w:ind w:firstLine="640" w:firstLineChars="200"/>
        <w:rPr>
          <w:rFonts w:ascii="仿宋" w:hAnsi="仿宋" w:eastAsia="仿宋" w:cs="黑体"/>
          <w:sz w:val="32"/>
          <w:szCs w:val="32"/>
        </w:rPr>
      </w:pPr>
      <w:r>
        <w:rPr>
          <w:rFonts w:hint="eastAsia" w:ascii="仿宋" w:hAnsi="仿宋" w:eastAsia="仿宋" w:cs="黑体"/>
          <w:sz w:val="32"/>
          <w:szCs w:val="32"/>
        </w:rPr>
        <w:t>（二）报销费用与提供的发票等财务报销凭证、公务卡消费凭证（</w:t>
      </w:r>
      <w:r>
        <w:rPr>
          <w:rFonts w:ascii="仿宋" w:hAnsi="仿宋" w:eastAsia="仿宋" w:cs="黑体"/>
          <w:sz w:val="32"/>
          <w:szCs w:val="32"/>
        </w:rPr>
        <w:t>POS</w:t>
      </w:r>
      <w:r>
        <w:rPr>
          <w:rFonts w:hint="eastAsia" w:ascii="仿宋" w:hAnsi="仿宋" w:eastAsia="仿宋" w:cs="黑体"/>
          <w:sz w:val="32"/>
          <w:szCs w:val="32"/>
        </w:rPr>
        <w:t>机小票）不符的。</w:t>
      </w:r>
    </w:p>
    <w:p>
      <w:pPr>
        <w:spacing w:line="560" w:lineRule="exact"/>
        <w:ind w:firstLine="640" w:firstLineChars="200"/>
        <w:rPr>
          <w:rFonts w:ascii="仿宋" w:hAnsi="仿宋" w:eastAsia="仿宋" w:cs="黑体"/>
          <w:sz w:val="32"/>
          <w:szCs w:val="32"/>
        </w:rPr>
      </w:pPr>
      <w:r>
        <w:rPr>
          <w:rFonts w:hint="eastAsia" w:ascii="仿宋" w:hAnsi="仿宋" w:eastAsia="仿宋" w:cs="黑体"/>
          <w:sz w:val="32"/>
          <w:szCs w:val="32"/>
        </w:rPr>
        <w:t>（三）因个人原因，持卡人未能在规定的报销时限内申请报销所造成的罚息和滞纳金等。</w:t>
      </w:r>
    </w:p>
    <w:p>
      <w:pPr>
        <w:spacing w:line="560" w:lineRule="exact"/>
        <w:ind w:firstLine="640" w:firstLineChars="200"/>
        <w:rPr>
          <w:rFonts w:ascii="仿宋" w:hAnsi="仿宋" w:eastAsia="仿宋" w:cs="黑体"/>
          <w:sz w:val="32"/>
          <w:szCs w:val="32"/>
        </w:rPr>
      </w:pPr>
      <w:r>
        <w:rPr>
          <w:rFonts w:hint="eastAsia" w:ascii="仿宋" w:hAnsi="仿宋" w:eastAsia="仿宋" w:cs="黑体"/>
          <w:sz w:val="32"/>
          <w:szCs w:val="32"/>
        </w:rPr>
        <w:t>（四）因持卡人个人保管不慎或遗失等原因，导致公务卡被盗刷所形成的支出和损失。</w:t>
      </w:r>
    </w:p>
    <w:p>
      <w:pPr>
        <w:spacing w:line="560" w:lineRule="exact"/>
        <w:ind w:firstLine="640" w:firstLineChars="200"/>
        <w:rPr>
          <w:rFonts w:ascii="仿宋" w:hAnsi="仿宋" w:eastAsia="仿宋" w:cs="黑体"/>
          <w:sz w:val="32"/>
          <w:szCs w:val="32"/>
        </w:rPr>
      </w:pPr>
      <w:r>
        <w:rPr>
          <w:rFonts w:hint="eastAsia" w:ascii="仿宋" w:hAnsi="仿宋" w:eastAsia="仿宋" w:cs="黑体"/>
          <w:sz w:val="32"/>
          <w:szCs w:val="32"/>
        </w:rPr>
        <w:t>（五）其他不符合财务管理规定和要求或超出标准的消费。</w:t>
      </w:r>
    </w:p>
    <w:p>
      <w:pPr>
        <w:spacing w:line="560" w:lineRule="exact"/>
        <w:ind w:firstLine="640" w:firstLineChars="200"/>
        <w:rPr>
          <w:rFonts w:hint="eastAsia" w:ascii="仿宋" w:hAnsi="仿宋" w:eastAsia="仿宋" w:cs="黑体"/>
          <w:sz w:val="32"/>
          <w:szCs w:val="32"/>
        </w:rPr>
      </w:pPr>
      <w:r>
        <w:rPr>
          <w:rFonts w:hint="eastAsia" w:ascii="仿宋" w:hAnsi="仿宋" w:eastAsia="仿宋" w:cs="黑体"/>
          <w:sz w:val="32"/>
          <w:szCs w:val="32"/>
        </w:rPr>
        <w:t>第十五条</w:t>
      </w:r>
      <w:r>
        <w:rPr>
          <w:rFonts w:ascii="仿宋" w:hAnsi="仿宋" w:eastAsia="仿宋" w:cs="黑体"/>
          <w:sz w:val="32"/>
          <w:szCs w:val="32"/>
        </w:rPr>
        <w:t xml:space="preserve">  </w:t>
      </w:r>
      <w:r>
        <w:rPr>
          <w:rFonts w:hint="eastAsia" w:ascii="仿宋" w:hAnsi="仿宋" w:eastAsia="仿宋" w:cs="黑体"/>
          <w:sz w:val="32"/>
          <w:szCs w:val="32"/>
        </w:rPr>
        <w:t>使用公务卡后，凡发生公务卡支付范围内的公务支出时，原则上不予报销现金。如遇特殊情况，经计划财务处分管院领导审核同意后，方能报销。</w:t>
      </w:r>
    </w:p>
    <w:p>
      <w:pPr>
        <w:spacing w:line="560" w:lineRule="exact"/>
        <w:ind w:firstLine="640" w:firstLineChars="200"/>
        <w:rPr>
          <w:rFonts w:ascii="仿宋" w:hAnsi="仿宋" w:eastAsia="仿宋" w:cs="黑体"/>
          <w:sz w:val="32"/>
          <w:szCs w:val="32"/>
        </w:rPr>
      </w:pPr>
      <w:r>
        <w:rPr>
          <w:rFonts w:hint="eastAsia" w:ascii="仿宋" w:hAnsi="仿宋" w:eastAsia="仿宋" w:cs="黑体"/>
          <w:sz w:val="32"/>
          <w:szCs w:val="32"/>
        </w:rPr>
        <w:t>第十六条  严禁违规使用公务卡、恶意透支、拖欠还款或将非公务卡支出用于公务报销等现象，违反规定的，追究直接责任人的责任，情节严重，涉嫌犯罪的，移交司法机关，追究刑事责任。</w:t>
      </w:r>
    </w:p>
    <w:p>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五、附则</w:t>
      </w:r>
    </w:p>
    <w:p>
      <w:pPr>
        <w:spacing w:line="560" w:lineRule="exact"/>
        <w:ind w:firstLine="640" w:firstLineChars="200"/>
        <w:rPr>
          <w:rFonts w:ascii="仿宋" w:hAnsi="仿宋" w:eastAsia="仿宋" w:cs="黑体"/>
          <w:sz w:val="32"/>
          <w:szCs w:val="32"/>
        </w:rPr>
      </w:pPr>
      <w:r>
        <w:rPr>
          <w:rFonts w:hint="eastAsia" w:ascii="仿宋" w:hAnsi="仿宋" w:eastAsia="仿宋" w:cs="黑体"/>
          <w:sz w:val="32"/>
          <w:szCs w:val="32"/>
        </w:rPr>
        <w:t>第十七条</w:t>
      </w:r>
      <w:r>
        <w:rPr>
          <w:rFonts w:ascii="仿宋" w:hAnsi="仿宋" w:eastAsia="仿宋" w:cs="黑体"/>
          <w:sz w:val="32"/>
          <w:szCs w:val="32"/>
        </w:rPr>
        <w:t xml:space="preserve">  </w:t>
      </w:r>
      <w:r>
        <w:rPr>
          <w:rFonts w:hint="eastAsia" w:ascii="仿宋" w:hAnsi="仿宋" w:eastAsia="仿宋" w:cs="黑体"/>
          <w:sz w:val="32"/>
          <w:szCs w:val="32"/>
        </w:rPr>
        <w:t>本办法由学院计划财务处负责解释。</w:t>
      </w:r>
    </w:p>
    <w:p>
      <w:pPr>
        <w:spacing w:line="560" w:lineRule="exact"/>
        <w:ind w:firstLine="640" w:firstLineChars="200"/>
        <w:rPr>
          <w:rFonts w:hint="eastAsia" w:ascii="仿宋" w:hAnsi="仿宋" w:eastAsia="仿宋" w:cs="黑体"/>
          <w:sz w:val="32"/>
          <w:szCs w:val="32"/>
        </w:rPr>
      </w:pPr>
      <w:r>
        <w:rPr>
          <w:rFonts w:hint="eastAsia" w:ascii="仿宋" w:hAnsi="仿宋" w:eastAsia="仿宋" w:cs="黑体"/>
          <w:sz w:val="32"/>
          <w:szCs w:val="32"/>
        </w:rPr>
        <w:t>第十八条</w:t>
      </w:r>
      <w:r>
        <w:rPr>
          <w:rFonts w:ascii="仿宋" w:hAnsi="仿宋" w:eastAsia="仿宋" w:cs="黑体"/>
          <w:sz w:val="32"/>
          <w:szCs w:val="32"/>
        </w:rPr>
        <w:t xml:space="preserve">  </w:t>
      </w:r>
      <w:r>
        <w:rPr>
          <w:rFonts w:hint="eastAsia" w:ascii="仿宋" w:hAnsi="仿宋" w:eastAsia="仿宋" w:cs="黑体"/>
          <w:sz w:val="32"/>
          <w:szCs w:val="32"/>
        </w:rPr>
        <w:t>本办法自公布之日起实施。</w:t>
      </w:r>
    </w:p>
    <w:p>
      <w:pPr>
        <w:spacing w:line="560" w:lineRule="exact"/>
        <w:ind w:firstLine="640" w:firstLineChars="200"/>
        <w:rPr>
          <w:rFonts w:hint="eastAsia" w:ascii="仿宋" w:hAnsi="仿宋" w:eastAsia="仿宋" w:cs="黑体"/>
          <w:sz w:val="32"/>
          <w:szCs w:val="32"/>
        </w:rPr>
      </w:pPr>
    </w:p>
    <w:p>
      <w:pPr>
        <w:spacing w:line="520" w:lineRule="exact"/>
        <w:ind w:firstLine="646"/>
        <w:rPr>
          <w:rFonts w:hint="eastAsia" w:ascii="仿宋" w:hAnsi="仿宋" w:eastAsia="仿宋"/>
          <w:sz w:val="32"/>
          <w:szCs w:val="32"/>
        </w:rPr>
      </w:pPr>
    </w:p>
    <w:p>
      <w:pPr>
        <w:spacing w:line="520" w:lineRule="exact"/>
        <w:ind w:firstLine="645"/>
        <w:jc w:val="center"/>
        <w:rPr>
          <w:rFonts w:ascii="仿宋" w:hAnsi="仿宋" w:eastAsia="仿宋"/>
          <w:color w:val="000000"/>
          <w:sz w:val="32"/>
          <w:szCs w:val="32"/>
        </w:rPr>
      </w:pPr>
      <w:r>
        <w:rPr>
          <w:rFonts w:hint="eastAsia" w:ascii="仿宋" w:hAnsi="仿宋" w:eastAsia="仿宋"/>
          <w:color w:val="000000"/>
          <w:sz w:val="32"/>
          <w:szCs w:val="32"/>
        </w:rPr>
        <w:t xml:space="preserve">                      </w:t>
      </w:r>
    </w:p>
    <w:p>
      <w:pPr>
        <w:spacing w:line="520" w:lineRule="exact"/>
        <w:ind w:firstLine="645"/>
        <w:jc w:val="center"/>
        <w:rPr>
          <w:rFonts w:ascii="仿宋" w:hAnsi="仿宋" w:eastAsia="仿宋"/>
          <w:color w:val="000000"/>
          <w:sz w:val="32"/>
          <w:szCs w:val="32"/>
        </w:rPr>
      </w:pPr>
    </w:p>
    <w:p>
      <w:pPr>
        <w:spacing w:line="520" w:lineRule="exact"/>
        <w:ind w:firstLine="645"/>
        <w:jc w:val="center"/>
        <w:rPr>
          <w:rFonts w:ascii="仿宋" w:hAnsi="仿宋" w:eastAsia="仿宋"/>
          <w:color w:val="000000"/>
          <w:sz w:val="32"/>
          <w:szCs w:val="32"/>
        </w:rPr>
      </w:pPr>
      <w:r>
        <w:rPr>
          <w:rFonts w:ascii="仿宋" w:hAnsi="仿宋" w:eastAsia="仿宋"/>
          <w:color w:val="000000"/>
          <w:sz w:val="32"/>
          <w:szCs w:val="32"/>
        </w:rPr>
        <w:t xml:space="preserve">                      </w:t>
      </w:r>
      <w:r>
        <w:rPr>
          <w:rFonts w:hint="eastAsia" w:ascii="仿宋" w:hAnsi="仿宋" w:eastAsia="仿宋"/>
          <w:color w:val="000000"/>
          <w:sz w:val="32"/>
          <w:szCs w:val="32"/>
        </w:rPr>
        <w:t>上海民航职业技术学院</w:t>
      </w:r>
    </w:p>
    <w:p>
      <w:pPr>
        <w:spacing w:line="520" w:lineRule="exact"/>
        <w:ind w:firstLine="645"/>
        <w:jc w:val="center"/>
        <w:rPr>
          <w:rFonts w:hint="eastAsia" w:ascii="仿宋" w:hAnsi="仿宋" w:eastAsia="仿宋"/>
          <w:color w:val="000000"/>
          <w:sz w:val="32"/>
          <w:szCs w:val="32"/>
        </w:rPr>
      </w:pPr>
      <w:r>
        <w:rPr>
          <w:rFonts w:hint="eastAsia" w:ascii="仿宋" w:hAnsi="仿宋" w:eastAsia="仿宋"/>
          <w:color w:val="000000"/>
          <w:sz w:val="32"/>
          <w:szCs w:val="32"/>
        </w:rPr>
        <w:t xml:space="preserve">                        </w:t>
      </w:r>
      <w:bookmarkStart w:id="1" w:name="签发日期"/>
      <w:r>
        <w:rPr>
          <w:rFonts w:ascii="仿宋" w:hAnsi="仿宋" w:eastAsia="仿宋"/>
          <w:color w:val="000000"/>
          <w:sz w:val="32"/>
          <w:szCs w:val="32"/>
        </w:rPr>
        <w:t>2019年7月3日</w:t>
      </w:r>
      <w:bookmarkEnd w:id="1"/>
    </w:p>
    <w:p>
      <w:pPr>
        <w:ind w:firstLine="3840" w:firstLineChars="1200"/>
        <w:rPr>
          <w:rFonts w:ascii="仿宋_GB2312" w:hAnsi="仿宋"/>
          <w:sz w:val="32"/>
          <w:szCs w:val="32"/>
        </w:rPr>
      </w:pPr>
    </w:p>
    <w:p>
      <w:pPr>
        <w:ind w:firstLine="2520" w:firstLineChars="1200"/>
        <w:rPr>
          <w:rFonts w:ascii="仿宋_GB2312" w:hAnsi="仿宋"/>
        </w:rPr>
      </w:pPr>
    </w:p>
    <w:p>
      <w:pPr>
        <w:rPr>
          <w:rFonts w:hint="eastAsia" w:ascii="仿宋_GB2312" w:hAnsi="仿宋"/>
        </w:rPr>
      </w:pPr>
      <w:r>
        <w:rPr>
          <w:rFonts w:hint="eastAsia" w:ascii="仿宋_GB2312" w:hAnsi="仿宋"/>
        </w:rPr>
        <w:t xml:space="preserve">                                  </w:t>
      </w:r>
    </w:p>
    <w:tbl>
      <w:tblPr>
        <w:tblStyle w:val="8"/>
        <w:tblpPr w:horzAnchor="margin" w:tblpXSpec="center" w:tblpYSpec="bottom"/>
        <w:tblOverlap w:val="never"/>
        <w:tblW w:w="8983" w:type="dxa"/>
        <w:tblInd w:w="0" w:type="dxa"/>
        <w:tblBorders>
          <w:top w:val="none" w:color="auto" w:sz="0" w:space="0"/>
          <w:left w:val="none" w:color="auto" w:sz="0" w:space="0"/>
          <w:bottom w:val="single" w:color="000000" w:sz="8" w:space="0"/>
          <w:right w:val="none" w:color="auto" w:sz="0" w:space="0"/>
          <w:insideH w:val="single" w:color="000000" w:sz="8" w:space="0"/>
          <w:insideV w:val="none" w:color="auto" w:sz="0" w:space="0"/>
        </w:tblBorders>
        <w:tblLayout w:type="fixed"/>
        <w:tblCellMar>
          <w:top w:w="0" w:type="dxa"/>
          <w:left w:w="108" w:type="dxa"/>
          <w:bottom w:w="0" w:type="dxa"/>
          <w:right w:w="108" w:type="dxa"/>
        </w:tblCellMar>
      </w:tblPr>
      <w:tblGrid>
        <w:gridCol w:w="5247"/>
        <w:gridCol w:w="3736"/>
      </w:tblGrid>
      <w:tr>
        <w:tblPrEx>
          <w:tblBorders>
            <w:top w:val="none" w:color="auto" w:sz="0" w:space="0"/>
            <w:left w:val="none" w:color="auto" w:sz="0" w:space="0"/>
            <w:bottom w:val="single" w:color="000000" w:sz="8" w:space="0"/>
            <w:right w:val="none" w:color="auto" w:sz="0" w:space="0"/>
            <w:insideH w:val="single" w:color="000000" w:sz="8" w:space="0"/>
            <w:insideV w:val="none" w:color="auto" w:sz="0" w:space="0"/>
          </w:tblBorders>
          <w:tblLayout w:type="fixed"/>
          <w:tblCellMar>
            <w:top w:w="0" w:type="dxa"/>
            <w:left w:w="108" w:type="dxa"/>
            <w:bottom w:w="0" w:type="dxa"/>
            <w:right w:w="108" w:type="dxa"/>
          </w:tblCellMar>
        </w:tblPrEx>
        <w:trPr>
          <w:trHeight w:val="359" w:hRule="atLeast"/>
        </w:trPr>
        <w:tc>
          <w:tcPr>
            <w:tcW w:w="5247" w:type="dxa"/>
            <w:tcBorders>
              <w:top w:val="single" w:color="auto" w:sz="4" w:space="0"/>
              <w:bottom w:val="single" w:color="000000" w:sz="8" w:space="0"/>
            </w:tcBorders>
            <w:noWrap w:val="0"/>
            <w:tcMar>
              <w:left w:w="0" w:type="dxa"/>
              <w:right w:w="0" w:type="dxa"/>
            </w:tcMar>
            <w:vAlign w:val="center"/>
          </w:tcPr>
          <w:p>
            <w:pPr>
              <w:pStyle w:val="7"/>
              <w:spacing w:before="0" w:beforeAutospacing="0" w:after="0" w:afterAutospacing="0" w:line="480" w:lineRule="atLeast"/>
              <w:ind w:left="174" w:leftChars="83"/>
              <w:jc w:val="both"/>
              <w:textAlignment w:val="center"/>
              <w:rPr>
                <w:rFonts w:ascii="仿宋" w:hAnsi="仿宋" w:eastAsia="仿宋"/>
                <w:sz w:val="28"/>
                <w:szCs w:val="28"/>
              </w:rPr>
            </w:pPr>
            <w:r>
              <w:rPr>
                <w:rFonts w:hint="eastAsia" w:ascii="仿宋" w:hAnsi="仿宋" w:eastAsia="仿宋"/>
                <w:color w:val="000000"/>
                <w:sz w:val="28"/>
                <w:szCs w:val="28"/>
              </w:rPr>
              <w:t>上海民航职业技术学院办公室</w:t>
            </w:r>
          </w:p>
        </w:tc>
        <w:tc>
          <w:tcPr>
            <w:tcW w:w="3736" w:type="dxa"/>
            <w:tcBorders>
              <w:top w:val="single" w:color="auto" w:sz="4" w:space="0"/>
              <w:bottom w:val="single" w:color="000000" w:sz="8" w:space="0"/>
            </w:tcBorders>
            <w:noWrap w:val="0"/>
            <w:tcMar>
              <w:left w:w="0" w:type="dxa"/>
              <w:right w:w="0" w:type="dxa"/>
            </w:tcMar>
            <w:vAlign w:val="center"/>
          </w:tcPr>
          <w:p>
            <w:pPr>
              <w:pStyle w:val="7"/>
              <w:spacing w:before="0" w:beforeAutospacing="0" w:after="0" w:afterAutospacing="0" w:line="480" w:lineRule="atLeast"/>
              <w:ind w:right="210" w:rightChars="100"/>
              <w:jc w:val="right"/>
              <w:textAlignment w:val="center"/>
              <w:rPr>
                <w:rFonts w:ascii="仿宋" w:hAnsi="仿宋" w:eastAsia="仿宋"/>
                <w:sz w:val="28"/>
                <w:szCs w:val="28"/>
              </w:rPr>
            </w:pPr>
            <w:bookmarkStart w:id="2" w:name="印发日期"/>
            <w:r>
              <w:rPr>
                <w:rFonts w:ascii="仿宋" w:hAnsi="仿宋" w:eastAsia="仿宋"/>
                <w:sz w:val="28"/>
                <w:szCs w:val="28"/>
              </w:rPr>
              <w:t>2019年7月3日</w:t>
            </w:r>
            <w:bookmarkEnd w:id="2"/>
            <w:r>
              <w:rPr>
                <w:rFonts w:hint="eastAsia" w:ascii="仿宋" w:hAnsi="仿宋" w:eastAsia="仿宋"/>
                <w:sz w:val="28"/>
                <w:szCs w:val="28"/>
              </w:rPr>
              <w:t>印发</w:t>
            </w:r>
          </w:p>
        </w:tc>
      </w:tr>
      <w:tr>
        <w:tblPrEx>
          <w:tblBorders>
            <w:top w:val="none" w:color="auto" w:sz="0" w:space="0"/>
            <w:left w:val="none" w:color="auto" w:sz="0" w:space="0"/>
            <w:bottom w:val="single" w:color="000000" w:sz="8" w:space="0"/>
            <w:right w:val="none" w:color="auto" w:sz="0" w:space="0"/>
            <w:insideH w:val="single" w:color="000000" w:sz="8" w:space="0"/>
            <w:insideV w:val="none" w:color="auto" w:sz="0" w:space="0"/>
          </w:tblBorders>
          <w:tblLayout w:type="fixed"/>
          <w:tblCellMar>
            <w:top w:w="0" w:type="dxa"/>
            <w:left w:w="108" w:type="dxa"/>
            <w:bottom w:w="0" w:type="dxa"/>
            <w:right w:w="108" w:type="dxa"/>
          </w:tblCellMar>
        </w:tblPrEx>
        <w:trPr>
          <w:trHeight w:val="227" w:hRule="exact"/>
        </w:trPr>
        <w:tc>
          <w:tcPr>
            <w:tcW w:w="5247" w:type="dxa"/>
            <w:tcBorders>
              <w:top w:val="single" w:color="000000" w:sz="8" w:space="0"/>
              <w:bottom w:val="nil"/>
            </w:tcBorders>
            <w:noWrap w:val="0"/>
            <w:vAlign w:val="top"/>
          </w:tcPr>
          <w:p>
            <w:pPr>
              <w:pStyle w:val="7"/>
              <w:spacing w:before="0" w:beforeAutospacing="0" w:after="0" w:afterAutospacing="0" w:line="480" w:lineRule="atLeast"/>
              <w:ind w:left="1497" w:hanging="1497"/>
              <w:textAlignment w:val="center"/>
              <w:rPr>
                <w:rFonts w:ascii="仿宋_GB2312"/>
                <w:sz w:val="32"/>
              </w:rPr>
            </w:pPr>
          </w:p>
        </w:tc>
        <w:tc>
          <w:tcPr>
            <w:tcW w:w="3736" w:type="dxa"/>
            <w:tcBorders>
              <w:top w:val="single" w:color="000000" w:sz="8" w:space="0"/>
              <w:bottom w:val="nil"/>
            </w:tcBorders>
            <w:noWrap w:val="0"/>
            <w:vAlign w:val="top"/>
          </w:tcPr>
          <w:p>
            <w:pPr>
              <w:pStyle w:val="7"/>
              <w:spacing w:before="0" w:beforeAutospacing="0" w:after="0" w:afterAutospacing="0" w:line="480" w:lineRule="atLeast"/>
              <w:ind w:left="1497" w:hanging="1497"/>
              <w:jc w:val="right"/>
              <w:textAlignment w:val="center"/>
              <w:rPr>
                <w:rFonts w:ascii="仿宋_GB2312"/>
                <w:sz w:val="32"/>
              </w:rPr>
            </w:pPr>
          </w:p>
        </w:tc>
      </w:tr>
    </w:tbl>
    <w:p>
      <w:pPr>
        <w:ind w:right="-17" w:rightChars="-8"/>
        <w:rPr>
          <w:rFonts w:hint="eastAsia"/>
        </w:rPr>
      </w:pPr>
    </w:p>
    <w:p>
      <w:pPr>
        <w:spacing w:line="240" w:lineRule="atLeast"/>
        <w:jc w:val="center"/>
        <w:rPr>
          <w:rFonts w:hint="eastAsia" w:ascii="仿宋" w:hAnsi="仿宋" w:eastAsia="仿宋"/>
          <w:color w:val="000000"/>
          <w:sz w:val="32"/>
          <w:szCs w:val="32"/>
        </w:rPr>
      </w:pPr>
    </w:p>
    <w:p>
      <w:pPr>
        <w:spacing w:line="240" w:lineRule="atLeast"/>
        <w:jc w:val="center"/>
        <w:rPr>
          <w:rFonts w:hint="eastAsia" w:ascii="仿宋" w:hAnsi="仿宋" w:eastAsia="仿宋"/>
          <w:color w:val="000000"/>
          <w:sz w:val="32"/>
          <w:szCs w:val="32"/>
        </w:rPr>
      </w:pPr>
    </w:p>
    <w:p>
      <w:pPr>
        <w:spacing w:line="240" w:lineRule="atLeast"/>
        <w:jc w:val="center"/>
        <w:rPr>
          <w:rFonts w:hint="eastAsia" w:ascii="仿宋" w:hAnsi="仿宋" w:eastAsia="仿宋"/>
          <w:color w:val="000000"/>
          <w:sz w:val="32"/>
          <w:szCs w:val="32"/>
        </w:rPr>
      </w:pPr>
    </w:p>
    <w:p>
      <w:pPr>
        <w:spacing w:line="540" w:lineRule="exact"/>
        <w:ind w:firstLine="640" w:firstLineChars="200"/>
        <w:rPr>
          <w:rFonts w:ascii="仿宋" w:hAnsi="仿宋" w:eastAsia="仿宋" w:cs="仿宋"/>
          <w:sz w:val="32"/>
          <w:szCs w:val="32"/>
        </w:rPr>
      </w:pPr>
      <w:bookmarkStart w:id="3" w:name="_GoBack"/>
      <w:bookmarkEnd w:id="3"/>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方正小标宋简体">
    <w:panose1 w:val="03000509000000000000"/>
    <w:charset w:val="86"/>
    <w:family w:val="script"/>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大标宋简体">
    <w:altName w:val="宋体"/>
    <w:panose1 w:val="00000000000000000000"/>
    <w:charset w:val="86"/>
    <w:family w:val="auto"/>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asciiTheme="minorEastAsia" w:hAnsiTheme="minorEastAsia" w:eastAsiaTheme="minorEastAsia" w:cstheme="minorEastAsia"/>
                              <w:sz w:val="28"/>
                              <w:szCs w:val="28"/>
                            </w:rPr>
                            <w:t>- 6 -</w:t>
                          </w:r>
                          <w:r>
                            <w:rPr>
                              <w:rFonts w:hint="eastAsia" w:asciiTheme="minorEastAsia" w:hAnsiTheme="minorEastAsia" w:eastAsiaTheme="minorEastAsia" w:cstheme="minorEastAsia"/>
                              <w:sz w:val="28"/>
                              <w:szCs w:val="28"/>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M6pebnPAAAABQEAAA8A&#10;AAAAAAAAAQAgAAAAIgAAAGRycy9kb3ducmV2LnhtbFBLAQIUABQAAAAIAIdO4kAfGEK7rgEAAEsD&#10;AAAOAAAAAAAAAAEAIAAAAB4BAABkcnMvZTJvRG9jLnhtbFBLBQYAAAAABgAGAFkBAAA+BQAAAAA=&#10;">
              <v:fill on="f" focussize="0,0"/>
              <v:stroke on="f"/>
              <v:imagedata o:title=""/>
              <o:lock v:ext="edit" aspectratio="f"/>
              <v:textbox inset="0mm,0mm,0mm,0mm" style="mso-fit-shape-to-text:t;">
                <w:txbxContent>
                  <w:p>
                    <w:pPr>
                      <w:snapToGrid w:val="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asciiTheme="minorEastAsia" w:hAnsiTheme="minorEastAsia" w:eastAsiaTheme="minorEastAsia" w:cstheme="minorEastAsia"/>
                        <w:sz w:val="28"/>
                        <w:szCs w:val="28"/>
                      </w:rPr>
                      <w:t>- 6 -</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25E8"/>
    <w:rsid w:val="00003ECF"/>
    <w:rsid w:val="00021691"/>
    <w:rsid w:val="00055A5E"/>
    <w:rsid w:val="0005658F"/>
    <w:rsid w:val="00064B7A"/>
    <w:rsid w:val="00065E05"/>
    <w:rsid w:val="000672B4"/>
    <w:rsid w:val="00073426"/>
    <w:rsid w:val="0007379D"/>
    <w:rsid w:val="000768E3"/>
    <w:rsid w:val="000A08F0"/>
    <w:rsid w:val="000A4576"/>
    <w:rsid w:val="000E3F13"/>
    <w:rsid w:val="000F0383"/>
    <w:rsid w:val="000F36C5"/>
    <w:rsid w:val="00130866"/>
    <w:rsid w:val="00134084"/>
    <w:rsid w:val="00162E94"/>
    <w:rsid w:val="001703A0"/>
    <w:rsid w:val="00173D08"/>
    <w:rsid w:val="00174079"/>
    <w:rsid w:val="001823C2"/>
    <w:rsid w:val="001B16E9"/>
    <w:rsid w:val="001C06A6"/>
    <w:rsid w:val="002028CF"/>
    <w:rsid w:val="00207611"/>
    <w:rsid w:val="00211D42"/>
    <w:rsid w:val="002327CB"/>
    <w:rsid w:val="00265AB1"/>
    <w:rsid w:val="00285A5A"/>
    <w:rsid w:val="00297E33"/>
    <w:rsid w:val="002D3B12"/>
    <w:rsid w:val="002D529E"/>
    <w:rsid w:val="002E049E"/>
    <w:rsid w:val="002F0969"/>
    <w:rsid w:val="002F5D89"/>
    <w:rsid w:val="00304B79"/>
    <w:rsid w:val="00314B22"/>
    <w:rsid w:val="00325379"/>
    <w:rsid w:val="00330C0E"/>
    <w:rsid w:val="003405EB"/>
    <w:rsid w:val="00344B90"/>
    <w:rsid w:val="00344D2E"/>
    <w:rsid w:val="00395D39"/>
    <w:rsid w:val="00396D36"/>
    <w:rsid w:val="003C0A55"/>
    <w:rsid w:val="003D27BB"/>
    <w:rsid w:val="003E18DE"/>
    <w:rsid w:val="00406861"/>
    <w:rsid w:val="0040770B"/>
    <w:rsid w:val="0041026B"/>
    <w:rsid w:val="00413440"/>
    <w:rsid w:val="00413932"/>
    <w:rsid w:val="00414B41"/>
    <w:rsid w:val="00421209"/>
    <w:rsid w:val="00456F04"/>
    <w:rsid w:val="004660B8"/>
    <w:rsid w:val="00484DD5"/>
    <w:rsid w:val="004908FB"/>
    <w:rsid w:val="004958C2"/>
    <w:rsid w:val="004D3707"/>
    <w:rsid w:val="004D4E71"/>
    <w:rsid w:val="004E5BAC"/>
    <w:rsid w:val="00500566"/>
    <w:rsid w:val="0050657C"/>
    <w:rsid w:val="00532DAA"/>
    <w:rsid w:val="00543593"/>
    <w:rsid w:val="00582EB2"/>
    <w:rsid w:val="005C2A02"/>
    <w:rsid w:val="005C77CE"/>
    <w:rsid w:val="005D02DF"/>
    <w:rsid w:val="005E2EAF"/>
    <w:rsid w:val="005E4002"/>
    <w:rsid w:val="005E78F1"/>
    <w:rsid w:val="005F04BC"/>
    <w:rsid w:val="005F43CB"/>
    <w:rsid w:val="005F4605"/>
    <w:rsid w:val="006459AF"/>
    <w:rsid w:val="006539CB"/>
    <w:rsid w:val="006667AC"/>
    <w:rsid w:val="00681080"/>
    <w:rsid w:val="00681585"/>
    <w:rsid w:val="00682DF6"/>
    <w:rsid w:val="006847C0"/>
    <w:rsid w:val="006C3785"/>
    <w:rsid w:val="006C52F7"/>
    <w:rsid w:val="006D03C9"/>
    <w:rsid w:val="006D109E"/>
    <w:rsid w:val="006D7A41"/>
    <w:rsid w:val="006E09A2"/>
    <w:rsid w:val="006E7A3E"/>
    <w:rsid w:val="006F2D91"/>
    <w:rsid w:val="007041B8"/>
    <w:rsid w:val="007071EB"/>
    <w:rsid w:val="00733B22"/>
    <w:rsid w:val="00734DD8"/>
    <w:rsid w:val="007438B9"/>
    <w:rsid w:val="007710FD"/>
    <w:rsid w:val="0078144E"/>
    <w:rsid w:val="00783125"/>
    <w:rsid w:val="007C2A74"/>
    <w:rsid w:val="007E623D"/>
    <w:rsid w:val="007F1C08"/>
    <w:rsid w:val="007F211B"/>
    <w:rsid w:val="007F5213"/>
    <w:rsid w:val="00833B0A"/>
    <w:rsid w:val="00877BA9"/>
    <w:rsid w:val="008A351A"/>
    <w:rsid w:val="008B2A07"/>
    <w:rsid w:val="008B3EA1"/>
    <w:rsid w:val="008D0BEA"/>
    <w:rsid w:val="008D3407"/>
    <w:rsid w:val="008E5292"/>
    <w:rsid w:val="008E5590"/>
    <w:rsid w:val="008F328B"/>
    <w:rsid w:val="008F33F6"/>
    <w:rsid w:val="008F3EBC"/>
    <w:rsid w:val="00901A55"/>
    <w:rsid w:val="00902341"/>
    <w:rsid w:val="009040B5"/>
    <w:rsid w:val="009253E2"/>
    <w:rsid w:val="00933D6B"/>
    <w:rsid w:val="00935C2B"/>
    <w:rsid w:val="00961FB7"/>
    <w:rsid w:val="009732A5"/>
    <w:rsid w:val="0097592F"/>
    <w:rsid w:val="009A11A9"/>
    <w:rsid w:val="009A19F2"/>
    <w:rsid w:val="009A606B"/>
    <w:rsid w:val="009C3E2E"/>
    <w:rsid w:val="009C5E71"/>
    <w:rsid w:val="009E2855"/>
    <w:rsid w:val="009E74B4"/>
    <w:rsid w:val="009E7B90"/>
    <w:rsid w:val="00A0017B"/>
    <w:rsid w:val="00A377C2"/>
    <w:rsid w:val="00A42840"/>
    <w:rsid w:val="00A42EA6"/>
    <w:rsid w:val="00A6532E"/>
    <w:rsid w:val="00A67800"/>
    <w:rsid w:val="00A8567A"/>
    <w:rsid w:val="00AB3BA0"/>
    <w:rsid w:val="00AB4E21"/>
    <w:rsid w:val="00AB635C"/>
    <w:rsid w:val="00AC3A13"/>
    <w:rsid w:val="00AD6170"/>
    <w:rsid w:val="00AE7FF1"/>
    <w:rsid w:val="00B2086B"/>
    <w:rsid w:val="00B27138"/>
    <w:rsid w:val="00B2789E"/>
    <w:rsid w:val="00B52CFC"/>
    <w:rsid w:val="00B62FD5"/>
    <w:rsid w:val="00B72CC0"/>
    <w:rsid w:val="00BB73DE"/>
    <w:rsid w:val="00BC2C07"/>
    <w:rsid w:val="00BE3DA1"/>
    <w:rsid w:val="00C375D1"/>
    <w:rsid w:val="00C4516B"/>
    <w:rsid w:val="00C45933"/>
    <w:rsid w:val="00C525E8"/>
    <w:rsid w:val="00C6148B"/>
    <w:rsid w:val="00C63A50"/>
    <w:rsid w:val="00C648F1"/>
    <w:rsid w:val="00C65E6B"/>
    <w:rsid w:val="00C72324"/>
    <w:rsid w:val="00C72F96"/>
    <w:rsid w:val="00C77B72"/>
    <w:rsid w:val="00C9534D"/>
    <w:rsid w:val="00CB7009"/>
    <w:rsid w:val="00CB7F7B"/>
    <w:rsid w:val="00CC2D02"/>
    <w:rsid w:val="00CD51D8"/>
    <w:rsid w:val="00CD5ECC"/>
    <w:rsid w:val="00CE6032"/>
    <w:rsid w:val="00CF157B"/>
    <w:rsid w:val="00CF3171"/>
    <w:rsid w:val="00D03109"/>
    <w:rsid w:val="00D07747"/>
    <w:rsid w:val="00D11145"/>
    <w:rsid w:val="00D257F3"/>
    <w:rsid w:val="00D264E6"/>
    <w:rsid w:val="00D343E6"/>
    <w:rsid w:val="00D74DE0"/>
    <w:rsid w:val="00DA4ED7"/>
    <w:rsid w:val="00DB259B"/>
    <w:rsid w:val="00DB4556"/>
    <w:rsid w:val="00DB74AD"/>
    <w:rsid w:val="00DC7075"/>
    <w:rsid w:val="00DD1D0C"/>
    <w:rsid w:val="00E0653B"/>
    <w:rsid w:val="00E246D7"/>
    <w:rsid w:val="00E25E2B"/>
    <w:rsid w:val="00E438AF"/>
    <w:rsid w:val="00E64C83"/>
    <w:rsid w:val="00E72DA7"/>
    <w:rsid w:val="00E733E1"/>
    <w:rsid w:val="00E855D7"/>
    <w:rsid w:val="00E85F28"/>
    <w:rsid w:val="00E931F9"/>
    <w:rsid w:val="00E968F2"/>
    <w:rsid w:val="00EB048E"/>
    <w:rsid w:val="00EC0A35"/>
    <w:rsid w:val="00EC260E"/>
    <w:rsid w:val="00EC434A"/>
    <w:rsid w:val="00EC6CB9"/>
    <w:rsid w:val="00ED1478"/>
    <w:rsid w:val="00ED480D"/>
    <w:rsid w:val="00F00EE0"/>
    <w:rsid w:val="00F07728"/>
    <w:rsid w:val="00F12FB3"/>
    <w:rsid w:val="00F23088"/>
    <w:rsid w:val="00F23235"/>
    <w:rsid w:val="00F25D14"/>
    <w:rsid w:val="00F278EE"/>
    <w:rsid w:val="00F36A4C"/>
    <w:rsid w:val="00F52778"/>
    <w:rsid w:val="00F54A23"/>
    <w:rsid w:val="00F55D69"/>
    <w:rsid w:val="00F57720"/>
    <w:rsid w:val="00F61701"/>
    <w:rsid w:val="00F67AED"/>
    <w:rsid w:val="00F70A8E"/>
    <w:rsid w:val="00F814B3"/>
    <w:rsid w:val="00FA4E98"/>
    <w:rsid w:val="00FB22A1"/>
    <w:rsid w:val="00FC2628"/>
    <w:rsid w:val="23E9223D"/>
    <w:rsid w:val="241A26B4"/>
    <w:rsid w:val="43E64E2B"/>
    <w:rsid w:val="496E12DC"/>
    <w:rsid w:val="4D8869CF"/>
    <w:rsid w:val="65472B5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17"/>
    <w:qFormat/>
    <w:locked/>
    <w:uiPriority w:val="0"/>
    <w:pPr>
      <w:widowControl/>
      <w:spacing w:before="100" w:beforeAutospacing="1" w:after="100" w:afterAutospacing="1"/>
      <w:jc w:val="left"/>
      <w:outlineLvl w:val="0"/>
    </w:pPr>
    <w:rPr>
      <w:rFonts w:ascii="宋体" w:hAnsi="宋体" w:cs="宋体"/>
      <w:kern w:val="36"/>
      <w:sz w:val="24"/>
      <w:szCs w:val="24"/>
    </w:rPr>
  </w:style>
  <w:style w:type="character" w:default="1" w:styleId="9">
    <w:name w:val="Default Paragraph Font"/>
    <w:semiHidden/>
    <w:unhideWhenUsed/>
    <w:qFormat/>
    <w:uiPriority w:val="1"/>
  </w:style>
  <w:style w:type="table" w:default="1" w:styleId="8">
    <w:name w:val="Normal Table"/>
    <w:semiHidden/>
    <w:unhideWhenUsed/>
    <w:qFormat/>
    <w:uiPriority w:val="99"/>
    <w:tblPr>
      <w:tblLayout w:type="fixed"/>
      <w:tblCellMar>
        <w:top w:w="0" w:type="dxa"/>
        <w:left w:w="108" w:type="dxa"/>
        <w:bottom w:w="0" w:type="dxa"/>
        <w:right w:w="108" w:type="dxa"/>
      </w:tblCellMar>
    </w:tblPr>
  </w:style>
  <w:style w:type="paragraph" w:styleId="3">
    <w:name w:val="Body Text Indent"/>
    <w:basedOn w:val="1"/>
    <w:qFormat/>
    <w:uiPriority w:val="0"/>
    <w:pPr>
      <w:ind w:firstLine="524" w:firstLineChars="187"/>
    </w:pPr>
    <w:rPr>
      <w:rFonts w:ascii="Times New Roman" w:hAnsi="Times New Roman" w:cs="Times New Roman"/>
      <w:sz w:val="28"/>
      <w:szCs w:val="24"/>
    </w:rPr>
  </w:style>
  <w:style w:type="paragraph" w:styleId="4">
    <w:name w:val="Balloon Text"/>
    <w:basedOn w:val="1"/>
    <w:link w:val="15"/>
    <w:semiHidden/>
    <w:qFormat/>
    <w:uiPriority w:val="99"/>
    <w:rPr>
      <w:sz w:val="18"/>
      <w:szCs w:val="18"/>
    </w:rPr>
  </w:style>
  <w:style w:type="paragraph" w:styleId="5">
    <w:name w:val="footer"/>
    <w:basedOn w:val="1"/>
    <w:link w:val="14"/>
    <w:qFormat/>
    <w:uiPriority w:val="0"/>
    <w:pPr>
      <w:tabs>
        <w:tab w:val="center" w:pos="4153"/>
        <w:tab w:val="right" w:pos="8306"/>
      </w:tabs>
      <w:snapToGrid w:val="0"/>
      <w:jc w:val="left"/>
    </w:pPr>
    <w:rPr>
      <w:sz w:val="18"/>
      <w:szCs w:val="18"/>
    </w:rPr>
  </w:style>
  <w:style w:type="paragraph" w:styleId="6">
    <w:name w:val="header"/>
    <w:basedOn w:val="1"/>
    <w:link w:val="13"/>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widowControl/>
      <w:spacing w:before="100" w:beforeAutospacing="1" w:after="100" w:afterAutospacing="1"/>
      <w:jc w:val="left"/>
    </w:pPr>
    <w:rPr>
      <w:rFonts w:ascii="宋体" w:hAnsi="宋体" w:cs="宋体"/>
      <w:kern w:val="0"/>
      <w:sz w:val="24"/>
      <w:szCs w:val="24"/>
    </w:rPr>
  </w:style>
  <w:style w:type="character" w:styleId="10">
    <w:name w:val="Strong"/>
    <w:basedOn w:val="9"/>
    <w:qFormat/>
    <w:locked/>
    <w:uiPriority w:val="0"/>
    <w:rPr>
      <w:b/>
      <w:bCs/>
    </w:rPr>
  </w:style>
  <w:style w:type="character" w:styleId="11">
    <w:name w:val="page number"/>
    <w:basedOn w:val="9"/>
    <w:qFormat/>
    <w:uiPriority w:val="0"/>
  </w:style>
  <w:style w:type="paragraph" w:customStyle="1" w:styleId="12">
    <w:name w:val="列出段落1"/>
    <w:basedOn w:val="1"/>
    <w:qFormat/>
    <w:uiPriority w:val="99"/>
    <w:pPr>
      <w:ind w:firstLine="420" w:firstLineChars="200"/>
    </w:pPr>
    <w:rPr>
      <w:rFonts w:ascii="Times New Roman" w:hAnsi="Times New Roman"/>
      <w:szCs w:val="24"/>
    </w:rPr>
  </w:style>
  <w:style w:type="character" w:customStyle="1" w:styleId="13">
    <w:name w:val="页眉 Char"/>
    <w:basedOn w:val="9"/>
    <w:link w:val="6"/>
    <w:qFormat/>
    <w:locked/>
    <w:uiPriority w:val="0"/>
    <w:rPr>
      <w:rFonts w:cs="Times New Roman"/>
      <w:sz w:val="18"/>
      <w:szCs w:val="18"/>
    </w:rPr>
  </w:style>
  <w:style w:type="character" w:customStyle="1" w:styleId="14">
    <w:name w:val="页脚 Char"/>
    <w:basedOn w:val="9"/>
    <w:link w:val="5"/>
    <w:qFormat/>
    <w:locked/>
    <w:uiPriority w:val="0"/>
    <w:rPr>
      <w:rFonts w:cs="Times New Roman"/>
      <w:sz w:val="18"/>
      <w:szCs w:val="18"/>
    </w:rPr>
  </w:style>
  <w:style w:type="character" w:customStyle="1" w:styleId="15">
    <w:name w:val="批注框文本 Char"/>
    <w:basedOn w:val="9"/>
    <w:link w:val="4"/>
    <w:semiHidden/>
    <w:qFormat/>
    <w:locked/>
    <w:uiPriority w:val="99"/>
    <w:rPr>
      <w:rFonts w:cs="Times New Roman"/>
      <w:sz w:val="18"/>
      <w:szCs w:val="18"/>
    </w:rPr>
  </w:style>
  <w:style w:type="paragraph" w:customStyle="1" w:styleId="16">
    <w:name w:val="Char"/>
    <w:basedOn w:val="1"/>
    <w:qFormat/>
    <w:uiPriority w:val="0"/>
    <w:rPr>
      <w:rFonts w:ascii="Times New Roman" w:hAnsi="Times New Roman"/>
      <w:szCs w:val="21"/>
    </w:rPr>
  </w:style>
  <w:style w:type="character" w:customStyle="1" w:styleId="17">
    <w:name w:val="标题 1 Char"/>
    <w:basedOn w:val="9"/>
    <w:link w:val="2"/>
    <w:qFormat/>
    <w:uiPriority w:val="0"/>
    <w:rPr>
      <w:rFonts w:ascii="宋体" w:hAnsi="宋体" w:cs="宋体"/>
      <w:kern w:val="36"/>
      <w:sz w:val="24"/>
      <w:szCs w:val="24"/>
    </w:rPr>
  </w:style>
  <w:style w:type="paragraph" w:styleId="18">
    <w:name w:val="List Paragraph"/>
    <w:basedOn w:val="1"/>
    <w:qFormat/>
    <w:uiPriority w:val="34"/>
    <w:pPr>
      <w:ind w:firstLine="420" w:firstLineChars="200"/>
    </w:pPr>
    <w:rPr>
      <w:rFonts w:asciiTheme="minorHAnsi" w:hAnsiTheme="minorHAnsi" w:eastAsiaTheme="minorEastAsia" w:cstheme="min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5D7EDA2-12B6-40BF-B4C1-55F7AF6E51C0}">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70</Pages>
  <Words>17231</Words>
  <Characters>17405</Characters>
  <Lines>828</Lines>
  <Paragraphs>587</Paragraphs>
  <TotalTime>1</TotalTime>
  <ScaleCrop>false</ScaleCrop>
  <LinksUpToDate>false</LinksUpToDate>
  <CharactersWithSpaces>34049</CharactersWithSpaces>
  <Application>WPS Office_11.1.0.8806_F1E327BC-269C-435d-A152-05C5408002CA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2016-06-17T04:51:00Z</dcterms:created>
  <dc:creator>user</dc:creator>
  <cp:lastModifiedBy>枫叶</cp:lastModifiedBy>
  <cp:lastPrinted>2018-06-15T00:48:00Z</cp:lastPrinted>
  <dcterms:modified xsi:type="dcterms:W3CDTF">2019-07-05T04:43:55Z</dcterms:modified>
  <cp:revision>112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2052-11.1.0.8806</vt:lpwstr>
  </property>
</Properties>
</file>