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宋体" w:cs="宋体"/>
          <w:b/>
          <w:kern w:val="0"/>
          <w:sz w:val="44"/>
          <w:szCs w:val="44"/>
          <w:lang w:val="zh-CN"/>
        </w:rPr>
      </w:pPr>
      <w:r>
        <w:rPr>
          <w:rFonts w:hint="eastAsia" w:ascii="宋体" w:cs="宋体"/>
          <w:b/>
          <w:kern w:val="0"/>
          <w:sz w:val="48"/>
          <w:szCs w:val="48"/>
          <w:lang w:val="zh-CN"/>
        </w:rPr>
        <w:t>山西能源学院</w:t>
      </w:r>
    </w:p>
    <w:p>
      <w:pPr>
        <w:autoSpaceDE w:val="0"/>
        <w:autoSpaceDN w:val="0"/>
        <w:adjustRightInd w:val="0"/>
        <w:jc w:val="center"/>
        <w:outlineLvl w:val="0"/>
        <w:rPr>
          <w:rFonts w:ascii="宋体" w:cs="宋体"/>
          <w:b/>
          <w:kern w:val="0"/>
          <w:sz w:val="32"/>
          <w:szCs w:val="32"/>
          <w:lang w:val="zh-CN"/>
        </w:rPr>
      </w:pPr>
      <w:bookmarkStart w:id="0" w:name="_Toc390248088"/>
      <w:bookmarkStart w:id="1" w:name="_Toc390249033"/>
      <w:bookmarkStart w:id="2" w:name="_Toc390249128"/>
      <w:r>
        <w:rPr>
          <w:rFonts w:hint="eastAsia" w:ascii="宋体" w:cs="宋体"/>
          <w:b/>
          <w:kern w:val="0"/>
          <w:sz w:val="32"/>
          <w:szCs w:val="32"/>
          <w:lang w:val="zh-CN"/>
        </w:rPr>
        <w:t>关于本科专业人才培养方案制订的原则意见（2017级）</w:t>
      </w:r>
      <w:bookmarkEnd w:id="0"/>
      <w:bookmarkEnd w:id="1"/>
      <w:bookmarkEnd w:id="2"/>
    </w:p>
    <w:p>
      <w:pPr>
        <w:autoSpaceDE w:val="0"/>
        <w:autoSpaceDN w:val="0"/>
        <w:adjustRightInd w:val="0"/>
        <w:jc w:val="center"/>
        <w:rPr>
          <w:rFonts w:ascii="宋体" w:cs="宋体"/>
          <w:b/>
          <w:kern w:val="0"/>
          <w:sz w:val="32"/>
          <w:szCs w:val="32"/>
          <w:lang w:val="zh-CN"/>
        </w:rPr>
      </w:pPr>
    </w:p>
    <w:p>
      <w:pPr>
        <w:spacing w:line="360" w:lineRule="auto"/>
        <w:ind w:left="315" w:leftChars="150" w:right="315" w:rightChars="150" w:firstLine="560" w:firstLineChars="200"/>
        <w:rPr>
          <w:sz w:val="28"/>
          <w:szCs w:val="28"/>
        </w:rPr>
      </w:pPr>
      <w:r>
        <w:rPr>
          <w:rFonts w:hint="eastAsia"/>
          <w:sz w:val="28"/>
          <w:szCs w:val="28"/>
        </w:rPr>
        <w:t>本科专业人才培养方案是学院根据国家对高等学校人才培养的有关要求，按专业对本科生培养做出的整体设计和安排的教学指导性文件，是学院办学思想、办学定位、办学模式、培养目标和规格标准的集中体现，是人才培养的顶层设计和办学特色的重要载体，是实施教学过程、组织教学活动、开展教学改革和进行教学管理的基本依据。制订、修订和执行专业人才培养方案是学院最重要的教学立法和执法活动之一，必须按严格的规范和程序进行。现就山西能源学院本科专业人才培养方案的制订提出如下指导原则意见。</w:t>
      </w:r>
    </w:p>
    <w:p>
      <w:pPr>
        <w:spacing w:line="360" w:lineRule="auto"/>
        <w:ind w:left="315" w:leftChars="150" w:right="315" w:rightChars="150" w:firstLine="562" w:firstLineChars="200"/>
        <w:rPr>
          <w:b/>
          <w:sz w:val="28"/>
          <w:szCs w:val="28"/>
        </w:rPr>
      </w:pPr>
      <w:r>
        <w:rPr>
          <w:rFonts w:hint="eastAsia"/>
          <w:b/>
          <w:sz w:val="28"/>
          <w:szCs w:val="28"/>
        </w:rPr>
        <w:t>一、指导思想</w:t>
      </w:r>
    </w:p>
    <w:p>
      <w:pPr>
        <w:spacing w:line="360" w:lineRule="auto"/>
        <w:ind w:left="315" w:leftChars="150" w:right="315" w:rightChars="150" w:firstLine="560" w:firstLineChars="200"/>
        <w:rPr>
          <w:sz w:val="28"/>
          <w:szCs w:val="28"/>
        </w:rPr>
      </w:pPr>
      <w:r>
        <w:rPr>
          <w:rFonts w:hint="eastAsia"/>
          <w:sz w:val="28"/>
          <w:szCs w:val="28"/>
        </w:rPr>
        <w:t>人才培养方案要全面体现“</w:t>
      </w:r>
      <w:r>
        <w:rPr>
          <w:sz w:val="28"/>
          <w:szCs w:val="28"/>
        </w:rPr>
        <w:t>坚持教育为社会主义现代化建设服务、为人民服务，把立德、树人作为教育的根本任务，全面实施素质教育，培养德智体美全面发展的社会主义建设者和接班人，努力办好人民满意的教育。</w:t>
      </w:r>
      <w:r>
        <w:rPr>
          <w:rFonts w:hint="eastAsia"/>
          <w:sz w:val="28"/>
          <w:szCs w:val="28"/>
        </w:rPr>
        <w:t>”的“十八大”教育方针。根据《国家中长期教育改革和发展规划纲要</w:t>
      </w:r>
      <w:r>
        <w:rPr>
          <w:sz w:val="28"/>
          <w:szCs w:val="28"/>
        </w:rPr>
        <w:t>(2010-2020</w:t>
      </w:r>
      <w:r>
        <w:rPr>
          <w:rFonts w:hint="eastAsia"/>
          <w:sz w:val="28"/>
          <w:szCs w:val="28"/>
        </w:rPr>
        <w:t>年)》、《普通高等学校本科专业设置管理规定》（教高[2012]9号）、《关于进一步加强高校实践育人工作的若干意见》（教思政[2012]1号）、《教育部、国家发展改革委、财政部关于引导部分地方普通本科高校向应用型转变的指导意见》、《山西能源学院章程》等文件精神，遵循教育教学基本规律，着眼于国家发展和人才的全面发展需要，结合相关专业特点和我省能源工业需求，</w:t>
      </w:r>
      <w:r>
        <w:rPr>
          <w:rFonts w:hint="eastAsia"/>
          <w:color w:val="000000"/>
          <w:sz w:val="28"/>
          <w:szCs w:val="28"/>
        </w:rPr>
        <w:t>优化课程体系，</w:t>
      </w:r>
      <w:r>
        <w:rPr>
          <w:rFonts w:hint="eastAsia"/>
          <w:sz w:val="28"/>
          <w:szCs w:val="28"/>
        </w:rPr>
        <w:t>强化实践育人环节，以提高应用型人才培养质量为目标，制订切实可行，且体现山西能源学院特色的人才培养方案。</w:t>
      </w:r>
    </w:p>
    <w:p>
      <w:pPr>
        <w:spacing w:line="360" w:lineRule="auto"/>
        <w:ind w:left="315" w:leftChars="150" w:right="315" w:rightChars="150" w:firstLine="562" w:firstLineChars="200"/>
        <w:rPr>
          <w:rFonts w:asciiTheme="minorHAnsi" w:hAnsiTheme="minorHAnsi" w:eastAsiaTheme="minorEastAsia" w:cstheme="minorBidi"/>
          <w:b/>
          <w:sz w:val="28"/>
          <w:szCs w:val="28"/>
        </w:rPr>
      </w:pPr>
      <w:r>
        <w:rPr>
          <w:rFonts w:hint="eastAsia" w:asciiTheme="minorHAnsi" w:hAnsiTheme="minorHAnsi" w:eastAsiaTheme="minorEastAsia" w:cstheme="minorBidi"/>
          <w:b/>
          <w:sz w:val="28"/>
          <w:szCs w:val="28"/>
        </w:rPr>
        <w:t>二、制（修）订目标</w:t>
      </w:r>
    </w:p>
    <w:p>
      <w:pPr>
        <w:pStyle w:val="12"/>
        <w:ind w:left="315" w:leftChars="150" w:right="315" w:rightChars="150" w:firstLine="560"/>
        <w:rPr>
          <w:b w:val="0"/>
          <w:color w:val="000000" w:themeColor="text1"/>
        </w:rPr>
      </w:pPr>
      <w:r>
        <w:rPr>
          <w:b w:val="0"/>
        </w:rPr>
        <w:t>1.</w:t>
      </w:r>
      <w:r>
        <w:rPr>
          <w:rFonts w:hint="eastAsia"/>
          <w:b w:val="0"/>
        </w:rPr>
        <w:t>进一步加强本科专业人才培养方案的规范性，依据教育部《普通高等学校本科专业目录（2012年版）》，完</w:t>
      </w:r>
      <w:r>
        <w:rPr>
          <w:rFonts w:hint="eastAsia"/>
          <w:b w:val="0"/>
          <w:color w:val="000000" w:themeColor="text1"/>
        </w:rPr>
        <w:t>善专业与课程标准，为参加本科专业评估奠定基础。</w:t>
      </w:r>
    </w:p>
    <w:p>
      <w:pPr>
        <w:pStyle w:val="12"/>
        <w:ind w:left="315" w:leftChars="150" w:right="315" w:rightChars="150" w:firstLine="560"/>
        <w:rPr>
          <w:b w:val="0"/>
        </w:rPr>
      </w:pPr>
      <w:r>
        <w:rPr>
          <w:b w:val="0"/>
        </w:rPr>
        <w:t>2.</w:t>
      </w:r>
      <w:r>
        <w:rPr>
          <w:rFonts w:hint="eastAsia"/>
          <w:b w:val="0"/>
        </w:rPr>
        <w:t>进一步优化课程体系，在优化基础、突出应用、注重技能的基础上，逐步形成具有特色的通识课程群和专业核心课程群，体现应用型本科的办学定位。</w:t>
      </w:r>
    </w:p>
    <w:p>
      <w:pPr>
        <w:pStyle w:val="12"/>
        <w:ind w:left="315" w:leftChars="150" w:right="315" w:rightChars="150" w:firstLine="560"/>
        <w:rPr>
          <w:b w:val="0"/>
        </w:rPr>
      </w:pPr>
      <w:r>
        <w:rPr>
          <w:b w:val="0"/>
        </w:rPr>
        <w:t>3.</w:t>
      </w:r>
      <w:r>
        <w:rPr>
          <w:rFonts w:hint="eastAsia"/>
          <w:b w:val="0"/>
        </w:rPr>
        <w:t>加大对教学组织、教学内容、教学方法的改革，开展教学评价，促进优良学风建设，提高人才培养质量。</w:t>
      </w:r>
    </w:p>
    <w:p>
      <w:pPr>
        <w:pStyle w:val="12"/>
        <w:ind w:left="315" w:leftChars="150" w:right="315" w:rightChars="150"/>
      </w:pPr>
      <w:r>
        <w:rPr>
          <w:rFonts w:hint="eastAsia"/>
        </w:rPr>
        <w:t>三、基本原则</w:t>
      </w:r>
    </w:p>
    <w:p>
      <w:pPr>
        <w:pStyle w:val="10"/>
        <w:ind w:left="315" w:leftChars="150" w:right="315" w:rightChars="150" w:firstLine="560"/>
      </w:pPr>
      <w:r>
        <w:rPr>
          <w:rFonts w:hint="eastAsia"/>
        </w:rPr>
        <w:t>1.</w:t>
      </w:r>
      <w:r>
        <w:rPr>
          <w:rFonts w:hint="eastAsia"/>
          <w:b/>
        </w:rPr>
        <w:t>需求导向、协调发展。</w:t>
      </w:r>
      <w:r>
        <w:rPr>
          <w:rFonts w:hint="eastAsia"/>
        </w:rPr>
        <w:t>顺应当前教育改革和发展的新形势，以及经济社会发展对高等应用型人才的新要求，优化基础课程，增设选修课程，开设能适应不同学生发展需求的课程模块，注重培养学生的工程技术应用能力、职业素养与人文素质，保证人才培养方案的先进性、科学性、应用性。</w:t>
      </w:r>
    </w:p>
    <w:p>
      <w:pPr>
        <w:pStyle w:val="10"/>
        <w:ind w:left="315" w:leftChars="150" w:right="315" w:rightChars="150" w:firstLine="560"/>
      </w:pPr>
      <w:r>
        <w:t>2.</w:t>
      </w:r>
      <w:r>
        <w:rPr>
          <w:rFonts w:hint="eastAsia"/>
          <w:b/>
        </w:rPr>
        <w:t>强化实践、突出应用</w:t>
      </w:r>
      <w:r>
        <w:rPr>
          <w:rFonts w:hint="eastAsia"/>
        </w:rPr>
        <w:t>。深化实验教学改革，鼓励开设综合性、工程实践性实验，鼓励开展多元化的毕业设计（论文）改革；根据各学科专业特点，设置多种实习实践活动，培养学生的实操动手能力；丰富与专业培养密切相关的就业创业训练活动，完善就业创业体系。</w:t>
      </w:r>
    </w:p>
    <w:p>
      <w:pPr>
        <w:pStyle w:val="10"/>
        <w:ind w:left="315" w:leftChars="150" w:right="315" w:rightChars="150" w:firstLine="562"/>
        <w:rPr>
          <w:rFonts w:ascii="Calibri" w:hAnsi="Calibri"/>
          <w:b/>
        </w:rPr>
      </w:pPr>
      <w:r>
        <w:rPr>
          <w:rFonts w:hint="eastAsia" w:ascii="Calibri" w:hAnsi="Calibri"/>
          <w:b/>
        </w:rPr>
        <w:t>四、学制、学位、学时及学分</w:t>
      </w:r>
    </w:p>
    <w:p>
      <w:pPr>
        <w:pStyle w:val="10"/>
        <w:ind w:left="315" w:leftChars="150" w:right="315" w:rightChars="150" w:firstLine="560"/>
      </w:pPr>
      <w:r>
        <w:t>1.</w:t>
      </w:r>
      <w:r>
        <w:rPr>
          <w:rFonts w:hint="eastAsia"/>
        </w:rPr>
        <w:t>学制</w:t>
      </w:r>
    </w:p>
    <w:p>
      <w:pPr>
        <w:pStyle w:val="10"/>
        <w:ind w:left="315" w:leftChars="150" w:right="315" w:rightChars="150" w:firstLine="560"/>
      </w:pPr>
      <w:r>
        <w:rPr>
          <w:rFonts w:hint="eastAsia"/>
        </w:rPr>
        <w:t>学院实行弹性学分制管理，四年制本科生在校修读年限为4-6年。</w:t>
      </w:r>
    </w:p>
    <w:p>
      <w:pPr>
        <w:pStyle w:val="10"/>
        <w:ind w:left="315" w:leftChars="150" w:right="315" w:rightChars="150" w:firstLine="560"/>
      </w:pPr>
      <w:r>
        <w:t>2.</w:t>
      </w:r>
      <w:r>
        <w:rPr>
          <w:rFonts w:hint="eastAsia"/>
        </w:rPr>
        <w:t>学位</w:t>
      </w:r>
    </w:p>
    <w:p>
      <w:pPr>
        <w:pStyle w:val="10"/>
        <w:ind w:left="315" w:leftChars="150" w:right="315" w:rightChars="150" w:firstLine="560"/>
      </w:pPr>
      <w:r>
        <w:rPr>
          <w:rFonts w:hint="eastAsia"/>
        </w:rPr>
        <w:t>可授学位按照《普通高校本科专业目录（2012年版）》的规定执行，每个专业人才培养方案只能授予一类学士学位。</w:t>
      </w:r>
    </w:p>
    <w:p>
      <w:pPr>
        <w:pStyle w:val="10"/>
        <w:ind w:left="315" w:leftChars="150" w:right="315" w:rightChars="150" w:firstLine="560"/>
      </w:pPr>
      <w:r>
        <w:t>3.</w:t>
      </w:r>
      <w:r>
        <w:rPr>
          <w:rFonts w:hint="eastAsia"/>
        </w:rPr>
        <w:t>学时</w:t>
      </w:r>
    </w:p>
    <w:p>
      <w:pPr>
        <w:pStyle w:val="10"/>
        <w:ind w:left="315" w:leftChars="150" w:right="315" w:rightChars="150" w:firstLine="560"/>
      </w:pPr>
      <w:r>
        <w:rPr>
          <w:rFonts w:hint="eastAsia"/>
        </w:rPr>
        <w:t>理论课总学时（含课内实验、上机）为</w:t>
      </w:r>
      <w:r>
        <w:rPr>
          <w:rFonts w:hint="eastAsia"/>
          <w:color w:val="FF0000"/>
          <w:lang w:val="en-US" w:eastAsia="zh-CN"/>
        </w:rPr>
        <w:t>2400</w:t>
      </w:r>
      <w:r>
        <w:rPr>
          <w:rFonts w:hint="eastAsia"/>
          <w:color w:val="FF0000"/>
        </w:rPr>
        <w:t>学时之内</w:t>
      </w:r>
      <w:r>
        <w:rPr>
          <w:rFonts w:hint="eastAsia"/>
        </w:rPr>
        <w:t>。一、二、三年级周学时为22-28学时，四年级18-24学时。</w:t>
      </w:r>
    </w:p>
    <w:p>
      <w:pPr>
        <w:pStyle w:val="10"/>
        <w:ind w:left="315" w:leftChars="150" w:right="315" w:rightChars="150" w:firstLine="560"/>
      </w:pPr>
      <w:r>
        <w:t>4.</w:t>
      </w:r>
      <w:r>
        <w:rPr>
          <w:rFonts w:hint="eastAsia"/>
        </w:rPr>
        <w:t>毕业最低学分</w:t>
      </w:r>
    </w:p>
    <w:p>
      <w:pPr>
        <w:pStyle w:val="10"/>
        <w:ind w:left="315" w:leftChars="150" w:right="315" w:rightChars="150" w:firstLine="560"/>
      </w:pPr>
      <w:r>
        <w:rPr>
          <w:rFonts w:hint="eastAsia"/>
        </w:rPr>
        <w:t>四年制本科理工类</w:t>
      </w:r>
      <w:r>
        <w:rPr>
          <w:rFonts w:hint="eastAsia"/>
          <w:color w:val="FF0000"/>
        </w:rPr>
        <w:t>175</w:t>
      </w:r>
      <w:r>
        <w:rPr>
          <w:rFonts w:hint="eastAsia"/>
        </w:rPr>
        <w:t>学分，经管类</w:t>
      </w:r>
      <w:r>
        <w:rPr>
          <w:rFonts w:hint="eastAsia"/>
          <w:color w:val="FF0000"/>
        </w:rPr>
        <w:t>170</w:t>
      </w:r>
      <w:r>
        <w:rPr>
          <w:rFonts w:hint="eastAsia"/>
        </w:rPr>
        <w:t>学分。</w:t>
      </w:r>
    </w:p>
    <w:p>
      <w:pPr>
        <w:pStyle w:val="10"/>
        <w:ind w:left="315" w:leftChars="150" w:right="315" w:rightChars="150" w:firstLine="560"/>
      </w:pPr>
      <w:r>
        <w:t>5.</w:t>
      </w:r>
      <w:r>
        <w:rPr>
          <w:rFonts w:hint="eastAsia"/>
        </w:rPr>
        <w:t>学分折算标准及实践比例</w:t>
      </w:r>
    </w:p>
    <w:p>
      <w:pPr>
        <w:pStyle w:val="10"/>
        <w:ind w:left="315" w:leftChars="150" w:right="315" w:rightChars="150" w:firstLine="560"/>
      </w:pPr>
      <w:r>
        <w:rPr>
          <w:rFonts w:hint="eastAsia"/>
        </w:rPr>
        <w:t>（1）理论课（含课内实验、上机等）、单独设置的实验课等16学时为1学分，总计原则上不超过</w:t>
      </w:r>
      <w:r>
        <w:rPr>
          <w:rFonts w:hint="eastAsia"/>
          <w:color w:val="FF0000"/>
        </w:rPr>
        <w:t>2</w:t>
      </w:r>
      <w:r>
        <w:rPr>
          <w:rFonts w:hint="eastAsia"/>
          <w:color w:val="FF0000"/>
          <w:lang w:val="en-US" w:eastAsia="zh-CN"/>
        </w:rPr>
        <w:t>40</w:t>
      </w:r>
      <w:r>
        <w:rPr>
          <w:rFonts w:hint="eastAsia"/>
          <w:color w:val="FF0000"/>
        </w:rPr>
        <w:t>0学时</w:t>
      </w:r>
      <w:r>
        <w:rPr>
          <w:rFonts w:hint="eastAsia"/>
        </w:rPr>
        <w:t>；</w:t>
      </w:r>
    </w:p>
    <w:p>
      <w:pPr>
        <w:pStyle w:val="10"/>
        <w:ind w:left="315" w:leftChars="150" w:right="315" w:rightChars="150" w:firstLine="560"/>
      </w:pPr>
      <w:r>
        <w:rPr>
          <w:rFonts w:hint="eastAsia"/>
        </w:rPr>
        <w:t>（2）军训、认识实习、金工实习、课程设计、毕业实习、毕业设计（论文）等集中实践教学每1周折算1学分，分散实践教学每2周折算1学分；</w:t>
      </w:r>
    </w:p>
    <w:p>
      <w:pPr>
        <w:pStyle w:val="10"/>
        <w:ind w:left="315" w:leftChars="150" w:right="315" w:rightChars="150" w:firstLine="560"/>
      </w:pPr>
      <w:r>
        <w:rPr>
          <w:rFonts w:hint="eastAsia"/>
        </w:rPr>
        <w:t>（</w:t>
      </w:r>
      <w:r>
        <w:t>3</w:t>
      </w:r>
      <w:r>
        <w:rPr>
          <w:rFonts w:hint="eastAsia"/>
        </w:rPr>
        <w:t>）科技活动、创新、创业及社团活动等第二课堂学分按有关文件计算；</w:t>
      </w:r>
    </w:p>
    <w:p>
      <w:pPr>
        <w:pStyle w:val="10"/>
        <w:ind w:left="315" w:leftChars="150" w:right="315" w:rightChars="150" w:firstLine="560"/>
      </w:pPr>
      <w:r>
        <w:rPr>
          <w:rFonts w:hint="eastAsia"/>
        </w:rPr>
        <w:t>（4）学分最小</w:t>
      </w:r>
      <w:r>
        <w:rPr>
          <w:rFonts w:hint="eastAsia"/>
          <w:lang w:val="en-US" w:eastAsia="zh-CN"/>
        </w:rPr>
        <w:t>计</w:t>
      </w:r>
      <w:r>
        <w:rPr>
          <w:rFonts w:hint="eastAsia"/>
        </w:rPr>
        <w:t>分单位为0.5学分。</w:t>
      </w:r>
    </w:p>
    <w:p>
      <w:pPr>
        <w:pStyle w:val="10"/>
        <w:ind w:left="315" w:leftChars="150" w:right="315" w:rightChars="150" w:firstLine="560"/>
      </w:pPr>
      <w:r>
        <w:rPr>
          <w:rFonts w:hint="eastAsia"/>
        </w:rPr>
        <w:t>（5）原则上理工类专业实践教学环节学分应大于30%，经管类等专业实践教学环节学分应大于25%。</w:t>
      </w:r>
    </w:p>
    <w:p>
      <w:pPr>
        <w:pStyle w:val="10"/>
        <w:ind w:left="315" w:leftChars="150" w:right="315" w:rightChars="150" w:firstLine="562"/>
        <w:rPr>
          <w:rFonts w:ascii="Calibri" w:hAnsi="Calibri"/>
          <w:b/>
        </w:rPr>
      </w:pPr>
      <w:r>
        <w:rPr>
          <w:rFonts w:hint="eastAsia" w:ascii="Calibri" w:hAnsi="Calibri"/>
          <w:b/>
        </w:rPr>
        <w:t>五、课程体系及教学体系</w:t>
      </w:r>
    </w:p>
    <w:p>
      <w:pPr>
        <w:pStyle w:val="10"/>
        <w:ind w:left="315" w:leftChars="150" w:right="315" w:rightChars="150" w:firstLine="560"/>
      </w:pPr>
      <w:r>
        <w:rPr>
          <w:rFonts w:hint="eastAsia"/>
        </w:rPr>
        <w:t>1.课程体系</w:t>
      </w:r>
    </w:p>
    <w:p>
      <w:pPr>
        <w:pStyle w:val="10"/>
        <w:ind w:left="315" w:leftChars="150" w:right="315" w:rightChars="150" w:firstLine="560"/>
      </w:pPr>
      <w:r>
        <w:rPr>
          <w:rFonts w:hint="eastAsia"/>
        </w:rPr>
        <w:t>学院课程体系由通识教育课程平台、学科基础课程平台、专业能力课程平台以及素质拓展课程平台组成，课程平台由理论课程和实践课程组成，课程分为必修课程和选修课程。</w:t>
      </w:r>
    </w:p>
    <w:p>
      <w:pPr>
        <w:pStyle w:val="10"/>
        <w:ind w:left="315" w:right="315" w:rightChars="150" w:firstLine="560" w:firstLineChars="0"/>
      </w:pPr>
      <w:r>
        <w:rPr>
          <w:rFonts w:hint="eastAsia"/>
        </w:rPr>
        <w:t>（1）通识教育课程平台</w:t>
      </w:r>
    </w:p>
    <w:p>
      <w:pPr>
        <w:pStyle w:val="10"/>
        <w:ind w:left="315" w:right="315" w:rightChars="150" w:firstLine="560" w:firstLineChars="0"/>
      </w:pPr>
      <w:r>
        <w:rPr>
          <w:rFonts w:hint="eastAsia"/>
        </w:rPr>
        <w:t>通识教育课程面向全院学生开设，主要包括国防教育、思想政治教育、体育与健康教育、公共基础教育课程等组成。</w:t>
      </w:r>
    </w:p>
    <w:p>
      <w:pPr>
        <w:pStyle w:val="10"/>
        <w:ind w:left="284" w:right="315" w:rightChars="150" w:firstLine="591" w:firstLineChars="0"/>
      </w:pPr>
      <w:r>
        <w:rPr>
          <w:rFonts w:hint="eastAsia"/>
        </w:rPr>
        <w:t>国防教育课程：军事理论、军事训练；</w:t>
      </w:r>
    </w:p>
    <w:p>
      <w:pPr>
        <w:pStyle w:val="10"/>
        <w:ind w:left="284" w:right="315" w:rightChars="150" w:firstLine="591" w:firstLineChars="0"/>
      </w:pPr>
      <w:r>
        <w:t>思想政治教育课程：思想道德修养与法律基础、形势与政策、中国近现代史纲要、马克思主义基本原理、毛泽东思想与中国特色社会主义理论体系概论</w:t>
      </w:r>
      <w:r>
        <w:rPr>
          <w:rFonts w:hint="eastAsia"/>
          <w:lang w:eastAsia="zh-CN"/>
        </w:rPr>
        <w:t>、</w:t>
      </w:r>
      <w:r>
        <w:rPr>
          <w:rFonts w:hint="eastAsia"/>
          <w:lang w:val="en-US" w:eastAsia="zh-CN"/>
        </w:rPr>
        <w:t>安全教育</w:t>
      </w:r>
      <w:r>
        <w:t>；</w:t>
      </w:r>
    </w:p>
    <w:p>
      <w:pPr>
        <w:pStyle w:val="10"/>
        <w:ind w:left="284" w:right="315" w:rightChars="150" w:firstLine="591" w:firstLineChars="0"/>
      </w:pPr>
      <w:r>
        <w:t>体育与健康教育：体育、心理学；</w:t>
      </w:r>
    </w:p>
    <w:p>
      <w:pPr>
        <w:pStyle w:val="10"/>
        <w:ind w:left="284" w:right="315" w:rightChars="150" w:firstLine="591" w:firstLineChars="0"/>
      </w:pPr>
      <w:r>
        <w:t>公共基础教育课程：大学英语、</w:t>
      </w:r>
      <w:r>
        <w:rPr>
          <w:rFonts w:hint="eastAsia"/>
        </w:rPr>
        <w:t>高等数学、线性代数、概率论与数理统计、大学计算机文化基础等。</w:t>
      </w:r>
    </w:p>
    <w:p>
      <w:pPr>
        <w:pStyle w:val="10"/>
        <w:ind w:left="315" w:right="315" w:rightChars="150" w:firstLine="560" w:firstLineChars="0"/>
      </w:pPr>
      <w:r>
        <w:rPr>
          <w:rFonts w:hint="eastAsia"/>
        </w:rPr>
        <w:t>（2）学科基础课程平台</w:t>
      </w:r>
    </w:p>
    <w:p>
      <w:pPr>
        <w:pStyle w:val="10"/>
        <w:ind w:left="315" w:right="315" w:rightChars="150" w:firstLine="560" w:firstLineChars="0"/>
      </w:pPr>
      <w:r>
        <w:rPr>
          <w:rFonts w:hint="eastAsia"/>
        </w:rPr>
        <w:t>学科基础课程平台按学科大类设置，面向专业大类学生开放。各系部可根据本科专业基础知识的统一要求，构建专业基础知识的统一要求，构建专业共享必修基础课程平台和选修基础课程平台。</w:t>
      </w:r>
    </w:p>
    <w:p>
      <w:pPr>
        <w:pStyle w:val="10"/>
        <w:ind w:right="315" w:rightChars="150" w:firstLine="840" w:firstLineChars="300"/>
      </w:pPr>
      <w:r>
        <w:rPr>
          <w:rFonts w:hint="eastAsia"/>
        </w:rPr>
        <w:t>学科基础必修课程：理工类专业主要包括大学物理以及各学科专业大类基础课程。</w:t>
      </w:r>
    </w:p>
    <w:p>
      <w:pPr>
        <w:pStyle w:val="10"/>
        <w:ind w:left="315" w:right="315" w:rightChars="150" w:firstLine="560" w:firstLineChars="0"/>
      </w:pPr>
      <w:r>
        <w:rPr>
          <w:rFonts w:hint="eastAsia"/>
        </w:rPr>
        <w:t>经管类专业主要包括学科专业大类基础课程。</w:t>
      </w:r>
    </w:p>
    <w:p>
      <w:pPr>
        <w:pStyle w:val="10"/>
        <w:ind w:left="315" w:right="315" w:rightChars="150" w:firstLine="560" w:firstLineChars="0"/>
      </w:pPr>
      <w:r>
        <w:rPr>
          <w:rFonts w:hint="eastAsia"/>
        </w:rPr>
        <w:t>学科专业大类基础课程平台的核心课程要参考教育部《普通高校本科专业目录（2012年版）》的专业规范进行设计，同时兼顾学院人才培养目标、定位，加强实践教学。</w:t>
      </w:r>
    </w:p>
    <w:p>
      <w:pPr>
        <w:pStyle w:val="10"/>
        <w:ind w:left="315" w:right="315" w:rightChars="150" w:firstLine="560" w:firstLineChars="0"/>
      </w:pPr>
      <w:r>
        <w:rPr>
          <w:rFonts w:hint="eastAsia"/>
        </w:rPr>
        <w:t>学科基础选修课程平台课程：主要由系部根据大类专业特点，开设一定数量的学科基础选修课程，包含实践课程，符合本专业核心课程学习的需要和学生个性化发展需要。</w:t>
      </w:r>
    </w:p>
    <w:p>
      <w:pPr>
        <w:pStyle w:val="10"/>
        <w:ind w:left="315" w:right="315" w:rightChars="150" w:firstLine="560" w:firstLineChars="0"/>
      </w:pPr>
      <w:r>
        <w:rPr>
          <w:rFonts w:hint="eastAsia"/>
        </w:rPr>
        <w:t>（3）专业能力课程平台</w:t>
      </w:r>
    </w:p>
    <w:p>
      <w:pPr>
        <w:pStyle w:val="10"/>
        <w:ind w:left="315" w:right="315" w:rightChars="150" w:firstLine="560" w:firstLineChars="0"/>
      </w:pPr>
      <w:r>
        <w:rPr>
          <w:rFonts w:hint="eastAsia"/>
        </w:rPr>
        <w:t>专业能力课程平台是为实现专业培养目标而设置，面向专业学生开放，可根据需要设置不同的方向模块。一个专业原则上设置方向模块的个数不受限制。</w:t>
      </w:r>
    </w:p>
    <w:p>
      <w:pPr>
        <w:pStyle w:val="10"/>
        <w:ind w:left="315" w:right="315" w:rightChars="150" w:firstLine="560" w:firstLineChars="0"/>
      </w:pPr>
      <w:r>
        <w:rPr>
          <w:rFonts w:hint="eastAsia"/>
        </w:rPr>
        <w:t>专业能力必修课程平台：由专业核心课程、专业综合实验、毕业实习、毕业设计（论文）等组成。专业核心课程原则上符合教育部的要求，但可根据本专业在我院的实际情况增减课程，但需教学指导委员会审核。</w:t>
      </w:r>
    </w:p>
    <w:p>
      <w:pPr>
        <w:pStyle w:val="10"/>
        <w:ind w:left="315" w:right="315" w:rightChars="150" w:firstLine="560" w:firstLineChars="0"/>
      </w:pPr>
      <w:r>
        <w:rPr>
          <w:rFonts w:hint="eastAsia"/>
        </w:rPr>
        <w:t>专业能力选修课程平台：由各系部根据各自专业特点及发展需要设置课程。</w:t>
      </w:r>
    </w:p>
    <w:p>
      <w:pPr>
        <w:pStyle w:val="10"/>
        <w:ind w:left="315" w:right="315" w:rightChars="150" w:firstLine="560" w:firstLineChars="0"/>
      </w:pPr>
      <w:r>
        <w:rPr>
          <w:rFonts w:hint="eastAsia"/>
        </w:rPr>
        <w:t>（4）素质拓展课程平台</w:t>
      </w:r>
    </w:p>
    <w:p>
      <w:pPr>
        <w:pStyle w:val="10"/>
        <w:ind w:left="315" w:right="315" w:rightChars="150" w:firstLine="560" w:firstLineChars="0"/>
      </w:pPr>
      <w:r>
        <w:rPr>
          <w:rFonts w:hint="eastAsia"/>
        </w:rPr>
        <w:t>素质拓展课程以培养创新精神和实践能力为重点，以提高大学生的人文素养和科学素质为目的设置。</w:t>
      </w:r>
    </w:p>
    <w:p>
      <w:pPr>
        <w:pStyle w:val="10"/>
        <w:ind w:left="315" w:leftChars="150" w:right="315" w:rightChars="150" w:firstLine="560"/>
      </w:pPr>
      <w:r>
        <w:rPr>
          <w:rFonts w:hint="eastAsia"/>
        </w:rPr>
        <w:t>2.教学体系</w:t>
      </w:r>
    </w:p>
    <w:p>
      <w:pPr>
        <w:pStyle w:val="10"/>
        <w:ind w:left="315" w:right="315" w:rightChars="150" w:firstLine="560" w:firstLineChars="0"/>
      </w:pPr>
      <w:r>
        <w:rPr>
          <w:rFonts w:hint="eastAsia"/>
        </w:rPr>
        <w:t>教学体系包括理论教学和实践教学，学分分配表如下所示:</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0"/>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vMerge w:val="restart"/>
            <w:vAlign w:val="center"/>
          </w:tcPr>
          <w:p>
            <w:pPr>
              <w:jc w:val="center"/>
              <w:rPr>
                <w:b/>
              </w:rPr>
            </w:pPr>
            <w:r>
              <w:rPr>
                <w:rFonts w:hint="eastAsia"/>
                <w:b/>
              </w:rPr>
              <w:t>课程体系</w:t>
            </w:r>
          </w:p>
        </w:tc>
        <w:tc>
          <w:tcPr>
            <w:tcW w:w="1420" w:type="dxa"/>
            <w:vMerge w:val="restart"/>
            <w:vAlign w:val="center"/>
          </w:tcPr>
          <w:p>
            <w:pPr>
              <w:jc w:val="center"/>
              <w:rPr>
                <w:b/>
              </w:rPr>
            </w:pPr>
            <w:r>
              <w:rPr>
                <w:rFonts w:hint="eastAsia"/>
                <w:b/>
              </w:rPr>
              <w:t>课程结构</w:t>
            </w:r>
          </w:p>
        </w:tc>
        <w:tc>
          <w:tcPr>
            <w:tcW w:w="1420" w:type="dxa"/>
          </w:tcPr>
          <w:p>
            <w:pPr>
              <w:jc w:val="center"/>
              <w:rPr>
                <w:b/>
              </w:rPr>
            </w:pPr>
            <w:r>
              <w:rPr>
                <w:rFonts w:hint="eastAsia"/>
                <w:b/>
              </w:rPr>
              <w:t>理论教学</w:t>
            </w:r>
          </w:p>
        </w:tc>
        <w:tc>
          <w:tcPr>
            <w:tcW w:w="1420" w:type="dxa"/>
          </w:tcPr>
          <w:p>
            <w:pPr>
              <w:jc w:val="center"/>
              <w:rPr>
                <w:b/>
              </w:rPr>
            </w:pPr>
            <w:r>
              <w:rPr>
                <w:rFonts w:hint="eastAsia"/>
                <w:b/>
              </w:rPr>
              <w:t>实践教学</w:t>
            </w:r>
          </w:p>
        </w:tc>
        <w:tc>
          <w:tcPr>
            <w:tcW w:w="2842" w:type="dxa"/>
            <w:gridSpan w:val="2"/>
          </w:tcPr>
          <w:p>
            <w:pPr>
              <w:jc w:val="center"/>
              <w:rPr>
                <w:b/>
              </w:rPr>
            </w:pPr>
            <w:r>
              <w:rPr>
                <w:rFonts w:hint="eastAsia"/>
                <w:b/>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vMerge w:val="continue"/>
            <w:vAlign w:val="center"/>
          </w:tcPr>
          <w:p>
            <w:pPr>
              <w:jc w:val="center"/>
              <w:rPr>
                <w:b/>
              </w:rPr>
            </w:pPr>
          </w:p>
        </w:tc>
        <w:tc>
          <w:tcPr>
            <w:tcW w:w="1420" w:type="dxa"/>
            <w:vMerge w:val="continue"/>
          </w:tcPr>
          <w:p>
            <w:pPr>
              <w:jc w:val="center"/>
              <w:rPr>
                <w:b/>
              </w:rPr>
            </w:pPr>
          </w:p>
        </w:tc>
        <w:tc>
          <w:tcPr>
            <w:tcW w:w="1420" w:type="dxa"/>
          </w:tcPr>
          <w:p>
            <w:pPr>
              <w:jc w:val="center"/>
              <w:rPr>
                <w:b/>
              </w:rPr>
            </w:pPr>
            <w:r>
              <w:rPr>
                <w:rFonts w:hint="eastAsia"/>
                <w:b/>
              </w:rPr>
              <w:t>学分</w:t>
            </w:r>
          </w:p>
        </w:tc>
        <w:tc>
          <w:tcPr>
            <w:tcW w:w="1420" w:type="dxa"/>
          </w:tcPr>
          <w:p>
            <w:pPr>
              <w:jc w:val="center"/>
              <w:rPr>
                <w:b/>
              </w:rPr>
            </w:pPr>
            <w:r>
              <w:rPr>
                <w:rFonts w:hint="eastAsia"/>
                <w:b/>
              </w:rPr>
              <w:t>学分</w:t>
            </w:r>
          </w:p>
        </w:tc>
        <w:tc>
          <w:tcPr>
            <w:tcW w:w="1421" w:type="dxa"/>
          </w:tcPr>
          <w:p>
            <w:pPr>
              <w:jc w:val="center"/>
              <w:rPr>
                <w:b/>
              </w:rPr>
            </w:pPr>
            <w:r>
              <w:rPr>
                <w:rFonts w:hint="eastAsia"/>
                <w:b/>
              </w:rPr>
              <w:t>学分</w:t>
            </w:r>
          </w:p>
        </w:tc>
        <w:tc>
          <w:tcPr>
            <w:tcW w:w="1421" w:type="dxa"/>
          </w:tcPr>
          <w:p>
            <w:pPr>
              <w:jc w:val="center"/>
              <w:rPr>
                <w:b/>
              </w:rPr>
            </w:pPr>
            <w:r>
              <w:rPr>
                <w:rFonts w:hint="eastAsia"/>
                <w:b/>
              </w:rPr>
              <w:t>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vMerge w:val="restart"/>
            <w:vAlign w:val="center"/>
          </w:tcPr>
          <w:p>
            <w:pPr>
              <w:jc w:val="center"/>
            </w:pPr>
            <w:r>
              <w:rPr>
                <w:rFonts w:hint="eastAsia"/>
              </w:rPr>
              <w:t>通识课程平台</w:t>
            </w:r>
          </w:p>
        </w:tc>
        <w:tc>
          <w:tcPr>
            <w:tcW w:w="1420" w:type="dxa"/>
          </w:tcPr>
          <w:p>
            <w:pPr>
              <w:jc w:val="center"/>
            </w:pPr>
            <w:r>
              <w:rPr>
                <w:rFonts w:hint="eastAsia"/>
              </w:rPr>
              <w:t>必修</w:t>
            </w:r>
          </w:p>
        </w:tc>
        <w:tc>
          <w:tcPr>
            <w:tcW w:w="1420" w:type="dxa"/>
          </w:tcPr>
          <w:p>
            <w:pPr>
              <w:jc w:val="center"/>
            </w:pPr>
          </w:p>
        </w:tc>
        <w:tc>
          <w:tcPr>
            <w:tcW w:w="1420" w:type="dxa"/>
          </w:tcPr>
          <w:p>
            <w:pPr>
              <w:jc w:val="center"/>
            </w:pPr>
          </w:p>
        </w:tc>
        <w:tc>
          <w:tcPr>
            <w:tcW w:w="1421" w:type="dxa"/>
          </w:tcPr>
          <w:p>
            <w:pPr>
              <w:jc w:val="center"/>
            </w:pPr>
          </w:p>
        </w:tc>
        <w:tc>
          <w:tcPr>
            <w:tcW w:w="1421" w:type="dxa"/>
          </w:tcPr>
          <w:p>
            <w:pPr>
              <w:jc w:val="center"/>
            </w:pPr>
            <w:r>
              <w:rPr>
                <w:rFonts w:hint="eastAsia"/>
              </w:rPr>
              <w:t>29</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vMerge w:val="continue"/>
            <w:vAlign w:val="center"/>
          </w:tcPr>
          <w:p>
            <w:pPr>
              <w:jc w:val="center"/>
            </w:pPr>
          </w:p>
        </w:tc>
        <w:tc>
          <w:tcPr>
            <w:tcW w:w="1420" w:type="dxa"/>
          </w:tcPr>
          <w:p>
            <w:pPr>
              <w:jc w:val="center"/>
            </w:pPr>
            <w:r>
              <w:rPr>
                <w:rFonts w:hint="eastAsia"/>
              </w:rPr>
              <w:t>小计</w:t>
            </w:r>
          </w:p>
        </w:tc>
        <w:tc>
          <w:tcPr>
            <w:tcW w:w="1420" w:type="dxa"/>
          </w:tcPr>
          <w:p>
            <w:pPr>
              <w:jc w:val="center"/>
            </w:pPr>
          </w:p>
        </w:tc>
        <w:tc>
          <w:tcPr>
            <w:tcW w:w="1420" w:type="dxa"/>
          </w:tcPr>
          <w:p>
            <w:pPr>
              <w:jc w:val="center"/>
            </w:pPr>
          </w:p>
        </w:tc>
        <w:tc>
          <w:tcPr>
            <w:tcW w:w="1421" w:type="dxa"/>
          </w:tcPr>
          <w:p>
            <w:pPr>
              <w:jc w:val="center"/>
            </w:pPr>
          </w:p>
        </w:tc>
        <w:tc>
          <w:tcPr>
            <w:tcW w:w="1421" w:type="dxa"/>
          </w:tcPr>
          <w:p>
            <w:pPr>
              <w:jc w:val="center"/>
            </w:pPr>
            <w:r>
              <w:rPr>
                <w:rFonts w:hint="eastAsia"/>
                <w:color w:val="FF0000"/>
              </w:rPr>
              <w:t>29</w:t>
            </w:r>
            <w:r>
              <w:rPr>
                <w:color w:val="FF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vMerge w:val="restart"/>
            <w:vAlign w:val="center"/>
          </w:tcPr>
          <w:p>
            <w:pPr>
              <w:jc w:val="center"/>
            </w:pPr>
            <w:r>
              <w:rPr>
                <w:rFonts w:hint="eastAsia"/>
              </w:rPr>
              <w:t>学科基础课程平台</w:t>
            </w:r>
          </w:p>
        </w:tc>
        <w:tc>
          <w:tcPr>
            <w:tcW w:w="1420" w:type="dxa"/>
          </w:tcPr>
          <w:p>
            <w:pPr>
              <w:jc w:val="center"/>
            </w:pPr>
            <w:r>
              <w:rPr>
                <w:rFonts w:hint="eastAsia"/>
              </w:rPr>
              <w:t>必修</w:t>
            </w:r>
          </w:p>
        </w:tc>
        <w:tc>
          <w:tcPr>
            <w:tcW w:w="1420" w:type="dxa"/>
          </w:tcPr>
          <w:p>
            <w:pPr>
              <w:jc w:val="center"/>
            </w:pPr>
          </w:p>
        </w:tc>
        <w:tc>
          <w:tcPr>
            <w:tcW w:w="1420" w:type="dxa"/>
          </w:tcPr>
          <w:p>
            <w:pPr>
              <w:jc w:val="center"/>
            </w:pPr>
          </w:p>
        </w:tc>
        <w:tc>
          <w:tcPr>
            <w:tcW w:w="1421" w:type="dxa"/>
          </w:tcPr>
          <w:p>
            <w:pPr>
              <w:jc w:val="center"/>
            </w:pPr>
          </w:p>
        </w:tc>
        <w:tc>
          <w:tcPr>
            <w:tcW w:w="1421" w:type="dxa"/>
          </w:tcPr>
          <w:p>
            <w:pPr>
              <w:jc w:val="center"/>
            </w:pPr>
            <w: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vMerge w:val="continue"/>
            <w:vAlign w:val="center"/>
          </w:tcPr>
          <w:p>
            <w:pPr>
              <w:jc w:val="center"/>
            </w:pPr>
          </w:p>
        </w:tc>
        <w:tc>
          <w:tcPr>
            <w:tcW w:w="1420" w:type="dxa"/>
          </w:tcPr>
          <w:p>
            <w:pPr>
              <w:jc w:val="center"/>
            </w:pPr>
            <w:r>
              <w:rPr>
                <w:rFonts w:hint="eastAsia"/>
              </w:rPr>
              <w:t>选修</w:t>
            </w:r>
          </w:p>
        </w:tc>
        <w:tc>
          <w:tcPr>
            <w:tcW w:w="1420" w:type="dxa"/>
          </w:tcPr>
          <w:p>
            <w:pPr>
              <w:jc w:val="center"/>
            </w:pPr>
          </w:p>
        </w:tc>
        <w:tc>
          <w:tcPr>
            <w:tcW w:w="1420" w:type="dxa"/>
          </w:tcPr>
          <w:p>
            <w:pPr>
              <w:jc w:val="center"/>
            </w:pPr>
          </w:p>
        </w:tc>
        <w:tc>
          <w:tcPr>
            <w:tcW w:w="1421" w:type="dxa"/>
          </w:tcPr>
          <w:p>
            <w:pPr>
              <w:jc w:val="center"/>
            </w:pPr>
          </w:p>
        </w:tc>
        <w:tc>
          <w:tcPr>
            <w:tcW w:w="1421" w:type="dxa"/>
          </w:tcPr>
          <w:p>
            <w:pPr>
              <w:jc w:val="center"/>
            </w:pPr>
            <w:r>
              <w:rPr>
                <w:rFonts w:hint="eastAsia"/>
              </w:rPr>
              <w:t>9</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vMerge w:val="continue"/>
            <w:vAlign w:val="center"/>
          </w:tcPr>
          <w:p>
            <w:pPr>
              <w:jc w:val="center"/>
            </w:pPr>
          </w:p>
        </w:tc>
        <w:tc>
          <w:tcPr>
            <w:tcW w:w="1420" w:type="dxa"/>
          </w:tcPr>
          <w:p>
            <w:pPr>
              <w:jc w:val="center"/>
            </w:pPr>
            <w:r>
              <w:rPr>
                <w:rFonts w:hint="eastAsia"/>
              </w:rPr>
              <w:t>小计</w:t>
            </w:r>
          </w:p>
        </w:tc>
        <w:tc>
          <w:tcPr>
            <w:tcW w:w="1420" w:type="dxa"/>
          </w:tcPr>
          <w:p>
            <w:pPr>
              <w:jc w:val="center"/>
            </w:pPr>
          </w:p>
        </w:tc>
        <w:tc>
          <w:tcPr>
            <w:tcW w:w="1420" w:type="dxa"/>
          </w:tcPr>
          <w:p>
            <w:pPr>
              <w:jc w:val="center"/>
            </w:pPr>
          </w:p>
        </w:tc>
        <w:tc>
          <w:tcPr>
            <w:tcW w:w="1421" w:type="dxa"/>
          </w:tcPr>
          <w:p>
            <w:pPr>
              <w:jc w:val="center"/>
            </w:pPr>
          </w:p>
        </w:tc>
        <w:tc>
          <w:tcPr>
            <w:tcW w:w="1421" w:type="dxa"/>
          </w:tcPr>
          <w:p>
            <w:pPr>
              <w:jc w:val="center"/>
            </w:pPr>
            <w:r>
              <w:rPr>
                <w:color w:val="FF0000"/>
              </w:rPr>
              <w:t>3</w:t>
            </w:r>
            <w:r>
              <w:rPr>
                <w:rFonts w:hint="eastAsia"/>
                <w:color w:val="FF0000"/>
              </w:rPr>
              <w:t>3</w:t>
            </w:r>
            <w:r>
              <w:rPr>
                <w:color w:val="FF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vMerge w:val="restart"/>
            <w:vAlign w:val="center"/>
          </w:tcPr>
          <w:p>
            <w:pPr>
              <w:jc w:val="center"/>
            </w:pPr>
            <w:r>
              <w:rPr>
                <w:rFonts w:hint="eastAsia"/>
              </w:rPr>
              <w:t>专业能力课程平台</w:t>
            </w:r>
          </w:p>
        </w:tc>
        <w:tc>
          <w:tcPr>
            <w:tcW w:w="1420" w:type="dxa"/>
          </w:tcPr>
          <w:p>
            <w:pPr>
              <w:jc w:val="center"/>
            </w:pPr>
            <w:r>
              <w:rPr>
                <w:rFonts w:hint="eastAsia"/>
              </w:rPr>
              <w:t>必修</w:t>
            </w:r>
          </w:p>
        </w:tc>
        <w:tc>
          <w:tcPr>
            <w:tcW w:w="1420" w:type="dxa"/>
          </w:tcPr>
          <w:p>
            <w:pPr>
              <w:jc w:val="center"/>
            </w:pPr>
          </w:p>
        </w:tc>
        <w:tc>
          <w:tcPr>
            <w:tcW w:w="1420" w:type="dxa"/>
          </w:tcPr>
          <w:p>
            <w:pPr>
              <w:jc w:val="center"/>
            </w:pPr>
          </w:p>
        </w:tc>
        <w:tc>
          <w:tcPr>
            <w:tcW w:w="1421" w:type="dxa"/>
          </w:tcPr>
          <w:p>
            <w:pPr>
              <w:jc w:val="center"/>
            </w:pPr>
          </w:p>
        </w:tc>
        <w:tc>
          <w:tcPr>
            <w:tcW w:w="1421" w:type="dxa"/>
          </w:tcPr>
          <w:p>
            <w:pPr>
              <w:jc w:val="center"/>
            </w:pPr>
            <w: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vMerge w:val="continue"/>
            <w:vAlign w:val="center"/>
          </w:tcPr>
          <w:p>
            <w:pPr>
              <w:jc w:val="center"/>
            </w:pPr>
          </w:p>
        </w:tc>
        <w:tc>
          <w:tcPr>
            <w:tcW w:w="1420" w:type="dxa"/>
          </w:tcPr>
          <w:p>
            <w:pPr>
              <w:jc w:val="center"/>
            </w:pPr>
            <w:r>
              <w:rPr>
                <w:rFonts w:hint="eastAsia"/>
              </w:rPr>
              <w:t>选修</w:t>
            </w:r>
          </w:p>
        </w:tc>
        <w:tc>
          <w:tcPr>
            <w:tcW w:w="1420" w:type="dxa"/>
          </w:tcPr>
          <w:p>
            <w:pPr>
              <w:jc w:val="center"/>
            </w:pPr>
          </w:p>
        </w:tc>
        <w:tc>
          <w:tcPr>
            <w:tcW w:w="1420" w:type="dxa"/>
          </w:tcPr>
          <w:p>
            <w:pPr>
              <w:jc w:val="center"/>
            </w:pPr>
          </w:p>
        </w:tc>
        <w:tc>
          <w:tcPr>
            <w:tcW w:w="1421" w:type="dxa"/>
          </w:tcPr>
          <w:p>
            <w:pPr>
              <w:jc w:val="center"/>
            </w:pPr>
          </w:p>
        </w:tc>
        <w:tc>
          <w:tcPr>
            <w:tcW w:w="1421" w:type="dxa"/>
          </w:tcPr>
          <w:p>
            <w:pPr>
              <w:jc w:val="cente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vMerge w:val="continue"/>
            <w:vAlign w:val="center"/>
          </w:tcPr>
          <w:p>
            <w:pPr>
              <w:jc w:val="center"/>
            </w:pPr>
          </w:p>
        </w:tc>
        <w:tc>
          <w:tcPr>
            <w:tcW w:w="1420" w:type="dxa"/>
          </w:tcPr>
          <w:p>
            <w:pPr>
              <w:jc w:val="center"/>
            </w:pPr>
            <w:r>
              <w:rPr>
                <w:rFonts w:hint="eastAsia"/>
              </w:rPr>
              <w:t>小计</w:t>
            </w:r>
          </w:p>
        </w:tc>
        <w:tc>
          <w:tcPr>
            <w:tcW w:w="1420" w:type="dxa"/>
          </w:tcPr>
          <w:p>
            <w:pPr>
              <w:jc w:val="center"/>
            </w:pPr>
          </w:p>
        </w:tc>
        <w:tc>
          <w:tcPr>
            <w:tcW w:w="1420" w:type="dxa"/>
          </w:tcPr>
          <w:p>
            <w:pPr>
              <w:jc w:val="center"/>
            </w:pPr>
          </w:p>
        </w:tc>
        <w:tc>
          <w:tcPr>
            <w:tcW w:w="1421" w:type="dxa"/>
          </w:tcPr>
          <w:p>
            <w:pPr>
              <w:jc w:val="center"/>
            </w:pPr>
          </w:p>
        </w:tc>
        <w:tc>
          <w:tcPr>
            <w:tcW w:w="1421" w:type="dxa"/>
          </w:tcPr>
          <w:p>
            <w:pPr>
              <w:jc w:val="center"/>
            </w:pPr>
            <w:r>
              <w:rPr>
                <w:color w:val="FF0000"/>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vMerge w:val="restart"/>
            <w:vAlign w:val="center"/>
          </w:tcPr>
          <w:p>
            <w:pPr>
              <w:jc w:val="center"/>
            </w:pPr>
            <w:r>
              <w:rPr>
                <w:rFonts w:hint="eastAsia"/>
              </w:rPr>
              <w:t>专业素质拓展课程平台</w:t>
            </w:r>
          </w:p>
        </w:tc>
        <w:tc>
          <w:tcPr>
            <w:tcW w:w="1420" w:type="dxa"/>
          </w:tcPr>
          <w:p>
            <w:pPr>
              <w:jc w:val="center"/>
            </w:pPr>
            <w:r>
              <w:rPr>
                <w:rFonts w:hint="eastAsia"/>
              </w:rPr>
              <w:t>必修</w:t>
            </w:r>
          </w:p>
        </w:tc>
        <w:tc>
          <w:tcPr>
            <w:tcW w:w="1420" w:type="dxa"/>
          </w:tcPr>
          <w:p>
            <w:pPr>
              <w:jc w:val="center"/>
            </w:pPr>
          </w:p>
        </w:tc>
        <w:tc>
          <w:tcPr>
            <w:tcW w:w="1420" w:type="dxa"/>
          </w:tcPr>
          <w:p>
            <w:pPr>
              <w:jc w:val="center"/>
            </w:pPr>
          </w:p>
        </w:tc>
        <w:tc>
          <w:tcPr>
            <w:tcW w:w="1421" w:type="dxa"/>
          </w:tcPr>
          <w:p>
            <w:pPr>
              <w:jc w:val="center"/>
            </w:pPr>
          </w:p>
        </w:tc>
        <w:tc>
          <w:tcPr>
            <w:tcW w:w="1421" w:type="dxa"/>
          </w:tcPr>
          <w:p>
            <w:pPr>
              <w:jc w:val="cente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vMerge w:val="continue"/>
            <w:vAlign w:val="center"/>
          </w:tcPr>
          <w:p>
            <w:pPr>
              <w:jc w:val="center"/>
            </w:pPr>
          </w:p>
        </w:tc>
        <w:tc>
          <w:tcPr>
            <w:tcW w:w="1420" w:type="dxa"/>
          </w:tcPr>
          <w:p>
            <w:pPr>
              <w:jc w:val="center"/>
            </w:pPr>
            <w:r>
              <w:rPr>
                <w:rFonts w:hint="eastAsia"/>
              </w:rPr>
              <w:t>选修</w:t>
            </w:r>
          </w:p>
        </w:tc>
        <w:tc>
          <w:tcPr>
            <w:tcW w:w="1420" w:type="dxa"/>
          </w:tcPr>
          <w:p>
            <w:pPr>
              <w:jc w:val="center"/>
            </w:pPr>
          </w:p>
        </w:tc>
        <w:tc>
          <w:tcPr>
            <w:tcW w:w="1420" w:type="dxa"/>
          </w:tcPr>
          <w:p>
            <w:pPr>
              <w:jc w:val="center"/>
            </w:pPr>
          </w:p>
        </w:tc>
        <w:tc>
          <w:tcPr>
            <w:tcW w:w="1421" w:type="dxa"/>
          </w:tcPr>
          <w:p>
            <w:pPr>
              <w:jc w:val="center"/>
            </w:pPr>
          </w:p>
        </w:tc>
        <w:tc>
          <w:tcPr>
            <w:tcW w:w="1421" w:type="dxa"/>
          </w:tcPr>
          <w:p>
            <w:pPr>
              <w:jc w:val="cente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20" w:type="dxa"/>
            <w:vMerge w:val="continue"/>
            <w:vAlign w:val="center"/>
          </w:tcPr>
          <w:p>
            <w:pPr>
              <w:jc w:val="center"/>
            </w:pPr>
          </w:p>
        </w:tc>
        <w:tc>
          <w:tcPr>
            <w:tcW w:w="1420" w:type="dxa"/>
          </w:tcPr>
          <w:p>
            <w:pPr>
              <w:jc w:val="center"/>
            </w:pPr>
            <w:r>
              <w:rPr>
                <w:rFonts w:hint="eastAsia"/>
              </w:rPr>
              <w:t>小计</w:t>
            </w:r>
          </w:p>
        </w:tc>
        <w:tc>
          <w:tcPr>
            <w:tcW w:w="1420" w:type="dxa"/>
          </w:tcPr>
          <w:p>
            <w:pPr>
              <w:jc w:val="center"/>
            </w:pPr>
          </w:p>
        </w:tc>
        <w:tc>
          <w:tcPr>
            <w:tcW w:w="1420" w:type="dxa"/>
          </w:tcPr>
          <w:p>
            <w:pPr>
              <w:jc w:val="center"/>
            </w:pPr>
          </w:p>
        </w:tc>
        <w:tc>
          <w:tcPr>
            <w:tcW w:w="1421" w:type="dxa"/>
          </w:tcPr>
          <w:p>
            <w:pPr>
              <w:jc w:val="center"/>
            </w:pPr>
          </w:p>
        </w:tc>
        <w:tc>
          <w:tcPr>
            <w:tcW w:w="1421" w:type="dxa"/>
          </w:tcPr>
          <w:p>
            <w:pPr>
              <w:jc w:val="center"/>
            </w:pPr>
            <w:r>
              <w:rPr>
                <w:color w:val="FF000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gridSpan w:val="2"/>
            <w:vAlign w:val="center"/>
          </w:tcPr>
          <w:p>
            <w:pPr>
              <w:jc w:val="center"/>
            </w:pPr>
            <w:r>
              <w:rPr>
                <w:rFonts w:hint="eastAsia"/>
              </w:rPr>
              <w:t>合计</w:t>
            </w:r>
          </w:p>
        </w:tc>
        <w:tc>
          <w:tcPr>
            <w:tcW w:w="1420" w:type="dxa"/>
          </w:tcPr>
          <w:p>
            <w:pPr>
              <w:jc w:val="center"/>
            </w:pPr>
          </w:p>
        </w:tc>
        <w:tc>
          <w:tcPr>
            <w:tcW w:w="1420" w:type="dxa"/>
          </w:tcPr>
          <w:p>
            <w:pPr>
              <w:jc w:val="center"/>
            </w:pPr>
          </w:p>
        </w:tc>
        <w:tc>
          <w:tcPr>
            <w:tcW w:w="1421" w:type="dxa"/>
          </w:tcPr>
          <w:p>
            <w:pPr>
              <w:jc w:val="center"/>
            </w:pPr>
          </w:p>
        </w:tc>
        <w:tc>
          <w:tcPr>
            <w:tcW w:w="1421" w:type="dxa"/>
          </w:tcPr>
          <w:p>
            <w:pPr>
              <w:jc w:val="center"/>
            </w:pPr>
            <w:r>
              <w:t>100%</w:t>
            </w:r>
          </w:p>
        </w:tc>
      </w:tr>
    </w:tbl>
    <w:p>
      <w:pPr>
        <w:pStyle w:val="10"/>
        <w:ind w:left="315" w:right="315" w:rightChars="150" w:firstLine="560" w:firstLineChars="0"/>
      </w:pPr>
      <w:r>
        <w:rPr>
          <w:rFonts w:hint="eastAsia"/>
        </w:rPr>
        <w:t>注：表中各学分分配可根据专业实</w:t>
      </w:r>
      <w:bookmarkStart w:id="3" w:name="_GoBack"/>
      <w:bookmarkEnd w:id="3"/>
      <w:r>
        <w:rPr>
          <w:rFonts w:hint="eastAsia"/>
        </w:rPr>
        <w:t>际情况可适当调整。</w:t>
      </w:r>
    </w:p>
    <w:p>
      <w:pPr>
        <w:pStyle w:val="10"/>
        <w:ind w:left="315" w:leftChars="150" w:right="315" w:rightChars="150" w:firstLine="562"/>
        <w:rPr>
          <w:rFonts w:ascii="Calibri" w:hAnsi="Calibri"/>
          <w:b/>
        </w:rPr>
      </w:pPr>
      <w:r>
        <w:rPr>
          <w:rFonts w:hint="eastAsia" w:ascii="Calibri" w:hAnsi="Calibri"/>
          <w:b/>
        </w:rPr>
        <w:t>六、其他说明</w:t>
      </w:r>
    </w:p>
    <w:p>
      <w:pPr>
        <w:pStyle w:val="10"/>
        <w:ind w:right="315" w:rightChars="150" w:firstLine="1120" w:firstLineChars="400"/>
      </w:pPr>
      <w:r>
        <w:rPr>
          <w:rFonts w:hint="eastAsia"/>
        </w:rPr>
        <w:t>1.本次制订的人才培养方案自201</w:t>
      </w:r>
      <w:r>
        <w:rPr>
          <w:rFonts w:hint="eastAsia"/>
          <w:lang w:val="en-US" w:eastAsia="zh-CN"/>
        </w:rPr>
        <w:t>7</w:t>
      </w:r>
      <w:r>
        <w:rPr>
          <w:rFonts w:hint="eastAsia"/>
        </w:rPr>
        <w:t>级本科生开始执行。</w:t>
      </w:r>
    </w:p>
    <w:p>
      <w:pPr>
        <w:pStyle w:val="10"/>
        <w:ind w:right="315" w:rightChars="150" w:firstLine="1120" w:firstLineChars="400"/>
      </w:pPr>
      <w:r>
        <w:t>2.</w:t>
      </w:r>
      <w:r>
        <w:rPr>
          <w:rFonts w:hint="eastAsia"/>
        </w:rPr>
        <w:t>本原则意见由教务处负责解释。</w:t>
      </w:r>
    </w:p>
    <w:p>
      <w:pPr>
        <w:pStyle w:val="10"/>
        <w:ind w:right="315" w:rightChars="150" w:firstLine="1120" w:firstLineChars="400"/>
      </w:pPr>
    </w:p>
    <w:p>
      <w:pPr>
        <w:pStyle w:val="10"/>
        <w:ind w:right="315" w:rightChars="150" w:firstLine="1120" w:firstLineChars="400"/>
      </w:pPr>
      <w:r>
        <w:rPr>
          <w:rFonts w:hint="eastAsia"/>
        </w:rPr>
        <w:t>附件：1.人才培养方案基本格式</w:t>
      </w:r>
    </w:p>
    <w:p>
      <w:pPr>
        <w:pStyle w:val="10"/>
        <w:ind w:right="315" w:rightChars="150" w:firstLine="1960" w:firstLineChars="700"/>
      </w:pPr>
      <w:r>
        <w:t>2.</w:t>
      </w:r>
      <w:r>
        <w:rPr>
          <w:rFonts w:hint="eastAsia"/>
        </w:rPr>
        <w:t>课程编码规则</w:t>
      </w:r>
    </w:p>
    <w:p>
      <w:pPr>
        <w:pStyle w:val="10"/>
        <w:ind w:right="315" w:rightChars="150" w:firstLine="1960" w:firstLineChars="700"/>
      </w:pPr>
    </w:p>
    <w:p>
      <w:pPr>
        <w:pStyle w:val="10"/>
        <w:ind w:right="315" w:rightChars="150" w:firstLine="1960" w:firstLineChars="700"/>
      </w:pPr>
    </w:p>
    <w:p>
      <w:pPr>
        <w:pStyle w:val="10"/>
        <w:ind w:right="315" w:rightChars="150" w:firstLine="1960" w:firstLineChars="700"/>
      </w:pPr>
      <w:r>
        <w:rPr>
          <w:rFonts w:hint="eastAsia"/>
        </w:rPr>
        <w:t xml:space="preserve">                       山西能源学院教务处</w:t>
      </w:r>
    </w:p>
    <w:p>
      <w:pPr>
        <w:pStyle w:val="10"/>
        <w:ind w:right="315" w:rightChars="150" w:firstLine="1960" w:firstLineChars="700"/>
      </w:pPr>
      <w:r>
        <w:rPr>
          <w:rFonts w:hint="eastAsia"/>
        </w:rPr>
        <w:t xml:space="preserve">                        201</w:t>
      </w:r>
      <w:r>
        <w:rPr>
          <w:rFonts w:hint="eastAsia"/>
          <w:lang w:val="en-US" w:eastAsia="zh-CN"/>
        </w:rPr>
        <w:t>7</w:t>
      </w:r>
      <w:r>
        <w:rPr>
          <w:rFonts w:hint="eastAsia"/>
        </w:rPr>
        <w:t>年</w:t>
      </w:r>
      <w:r>
        <w:rPr>
          <w:rFonts w:hint="eastAsia"/>
          <w:lang w:val="en-US" w:eastAsia="zh-CN"/>
        </w:rPr>
        <w:t>3</w:t>
      </w:r>
      <w:r>
        <w:rPr>
          <w:rFonts w:hint="eastAsia"/>
        </w:rPr>
        <w:t>月</w:t>
      </w:r>
      <w:r>
        <w:rPr>
          <w:rFonts w:hint="eastAsia"/>
          <w:lang w:val="en-US" w:eastAsia="zh-CN"/>
        </w:rPr>
        <w:t>22</w:t>
      </w:r>
      <w:r>
        <w:rPr>
          <w:rFonts w:hint="eastAsia"/>
        </w:rPr>
        <w:t>日</w:t>
      </w:r>
    </w:p>
    <w:p>
      <w:pPr>
        <w:pStyle w:val="10"/>
        <w:ind w:right="315" w:rightChars="150" w:firstLine="0" w:firstLineChars="0"/>
      </w:pPr>
    </w:p>
    <w:sectPr>
      <w:headerReference r:id="rId3" w:type="default"/>
      <w:footerReference r:id="rId4" w:type="default"/>
      <w:pgSz w:w="11906" w:h="16838"/>
      <w:pgMar w:top="1440" w:right="1644" w:bottom="1440"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8090"/>
    </w:sdtPr>
    <w:sdtContent>
      <w:p>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11105"/>
    <w:rsid w:val="0002291A"/>
    <w:rsid w:val="00026662"/>
    <w:rsid w:val="0003442D"/>
    <w:rsid w:val="00041723"/>
    <w:rsid w:val="0005211C"/>
    <w:rsid w:val="00084B9D"/>
    <w:rsid w:val="000B0CE5"/>
    <w:rsid w:val="000B3ECC"/>
    <w:rsid w:val="000E0D58"/>
    <w:rsid w:val="00123E23"/>
    <w:rsid w:val="0013782E"/>
    <w:rsid w:val="0014521E"/>
    <w:rsid w:val="00145B3F"/>
    <w:rsid w:val="001B540A"/>
    <w:rsid w:val="001C6E0F"/>
    <w:rsid w:val="001D02FE"/>
    <w:rsid w:val="002056D4"/>
    <w:rsid w:val="002235B4"/>
    <w:rsid w:val="002602E5"/>
    <w:rsid w:val="002845EF"/>
    <w:rsid w:val="00286F9C"/>
    <w:rsid w:val="002A400C"/>
    <w:rsid w:val="002A444F"/>
    <w:rsid w:val="002B0251"/>
    <w:rsid w:val="002C15E3"/>
    <w:rsid w:val="002C4DFE"/>
    <w:rsid w:val="002D2FFB"/>
    <w:rsid w:val="002D6648"/>
    <w:rsid w:val="002E44E1"/>
    <w:rsid w:val="002F4E3D"/>
    <w:rsid w:val="003006CE"/>
    <w:rsid w:val="00305298"/>
    <w:rsid w:val="00310240"/>
    <w:rsid w:val="00322AE1"/>
    <w:rsid w:val="00325A44"/>
    <w:rsid w:val="00330B3A"/>
    <w:rsid w:val="00363FD7"/>
    <w:rsid w:val="00376793"/>
    <w:rsid w:val="00392C2C"/>
    <w:rsid w:val="003B3E3E"/>
    <w:rsid w:val="003C247A"/>
    <w:rsid w:val="003D1CB3"/>
    <w:rsid w:val="003D6D42"/>
    <w:rsid w:val="00431092"/>
    <w:rsid w:val="004449A5"/>
    <w:rsid w:val="0046764F"/>
    <w:rsid w:val="004970D7"/>
    <w:rsid w:val="004A084A"/>
    <w:rsid w:val="00515926"/>
    <w:rsid w:val="0052688D"/>
    <w:rsid w:val="005841E0"/>
    <w:rsid w:val="005A34BE"/>
    <w:rsid w:val="005B1D01"/>
    <w:rsid w:val="005B42E6"/>
    <w:rsid w:val="005E1E62"/>
    <w:rsid w:val="0060454E"/>
    <w:rsid w:val="00607A96"/>
    <w:rsid w:val="00612187"/>
    <w:rsid w:val="00651FA5"/>
    <w:rsid w:val="00685169"/>
    <w:rsid w:val="00695C03"/>
    <w:rsid w:val="006974E8"/>
    <w:rsid w:val="006A21F0"/>
    <w:rsid w:val="006B0AF2"/>
    <w:rsid w:val="006B737A"/>
    <w:rsid w:val="006C77CF"/>
    <w:rsid w:val="00701A45"/>
    <w:rsid w:val="00706F78"/>
    <w:rsid w:val="00711105"/>
    <w:rsid w:val="007411C4"/>
    <w:rsid w:val="00742BBD"/>
    <w:rsid w:val="00770781"/>
    <w:rsid w:val="00773827"/>
    <w:rsid w:val="007A05C2"/>
    <w:rsid w:val="007B746F"/>
    <w:rsid w:val="007C45D2"/>
    <w:rsid w:val="00822E40"/>
    <w:rsid w:val="008333B5"/>
    <w:rsid w:val="00865339"/>
    <w:rsid w:val="008717E6"/>
    <w:rsid w:val="00883A82"/>
    <w:rsid w:val="008A60D0"/>
    <w:rsid w:val="008B40FF"/>
    <w:rsid w:val="008D7235"/>
    <w:rsid w:val="008F02FB"/>
    <w:rsid w:val="008F4855"/>
    <w:rsid w:val="009415B3"/>
    <w:rsid w:val="00973592"/>
    <w:rsid w:val="009753AF"/>
    <w:rsid w:val="009E2DDE"/>
    <w:rsid w:val="00A32A68"/>
    <w:rsid w:val="00A33409"/>
    <w:rsid w:val="00A5762C"/>
    <w:rsid w:val="00A65C37"/>
    <w:rsid w:val="00A71499"/>
    <w:rsid w:val="00A73FE6"/>
    <w:rsid w:val="00A81707"/>
    <w:rsid w:val="00A85740"/>
    <w:rsid w:val="00AC29CA"/>
    <w:rsid w:val="00AC3CD3"/>
    <w:rsid w:val="00AE065F"/>
    <w:rsid w:val="00B342C3"/>
    <w:rsid w:val="00B750CE"/>
    <w:rsid w:val="00B82D28"/>
    <w:rsid w:val="00B8699E"/>
    <w:rsid w:val="00BB3C42"/>
    <w:rsid w:val="00BC506B"/>
    <w:rsid w:val="00C05ABA"/>
    <w:rsid w:val="00C362E0"/>
    <w:rsid w:val="00C45B42"/>
    <w:rsid w:val="00C47722"/>
    <w:rsid w:val="00C70E50"/>
    <w:rsid w:val="00C74E3C"/>
    <w:rsid w:val="00C84ED7"/>
    <w:rsid w:val="00CB2B0B"/>
    <w:rsid w:val="00CB4297"/>
    <w:rsid w:val="00CC5E29"/>
    <w:rsid w:val="00CF00F6"/>
    <w:rsid w:val="00CF3036"/>
    <w:rsid w:val="00D023D5"/>
    <w:rsid w:val="00D06DC4"/>
    <w:rsid w:val="00D16E17"/>
    <w:rsid w:val="00D45B55"/>
    <w:rsid w:val="00D77B0C"/>
    <w:rsid w:val="00DC11F9"/>
    <w:rsid w:val="00E567D8"/>
    <w:rsid w:val="00E609B0"/>
    <w:rsid w:val="00E85CA0"/>
    <w:rsid w:val="00E90D2F"/>
    <w:rsid w:val="00E97FEE"/>
    <w:rsid w:val="00EC601C"/>
    <w:rsid w:val="00F05156"/>
    <w:rsid w:val="00F12383"/>
    <w:rsid w:val="00F31228"/>
    <w:rsid w:val="00F35213"/>
    <w:rsid w:val="00F86475"/>
    <w:rsid w:val="00F874CC"/>
    <w:rsid w:val="00FC4553"/>
    <w:rsid w:val="00FE5B8D"/>
    <w:rsid w:val="00FF1F39"/>
    <w:rsid w:val="075E56CB"/>
    <w:rsid w:val="0AA944AC"/>
    <w:rsid w:val="2D48574C"/>
    <w:rsid w:val="626222D0"/>
    <w:rsid w:val="6C623EE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4"/>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sz w:val="18"/>
      <w:szCs w:val="18"/>
    </w:rPr>
  </w:style>
  <w:style w:type="character" w:customStyle="1" w:styleId="9">
    <w:name w:val="页脚 Char"/>
    <w:basedOn w:val="5"/>
    <w:link w:val="3"/>
    <w:uiPriority w:val="99"/>
    <w:rPr>
      <w:sz w:val="18"/>
      <w:szCs w:val="18"/>
    </w:rPr>
  </w:style>
  <w:style w:type="paragraph" w:customStyle="1" w:styleId="10">
    <w:name w:val="样式1"/>
    <w:basedOn w:val="1"/>
    <w:qFormat/>
    <w:uiPriority w:val="0"/>
    <w:pPr>
      <w:spacing w:line="360" w:lineRule="auto"/>
      <w:ind w:firstLine="200" w:firstLineChars="200"/>
    </w:pPr>
    <w:rPr>
      <w:rFonts w:ascii="宋体" w:hAnsi="宋体"/>
      <w:sz w:val="28"/>
      <w:szCs w:val="28"/>
    </w:rPr>
  </w:style>
  <w:style w:type="character" w:customStyle="1" w:styleId="11">
    <w:name w:val="二级标题 Char"/>
    <w:basedOn w:val="5"/>
    <w:link w:val="12"/>
    <w:qFormat/>
    <w:uiPriority w:val="0"/>
    <w:rPr>
      <w:b/>
      <w:sz w:val="28"/>
      <w:szCs w:val="28"/>
    </w:rPr>
  </w:style>
  <w:style w:type="paragraph" w:customStyle="1" w:styleId="12">
    <w:name w:val="二级标题"/>
    <w:basedOn w:val="1"/>
    <w:link w:val="11"/>
    <w:qFormat/>
    <w:uiPriority w:val="0"/>
    <w:pPr>
      <w:spacing w:line="360" w:lineRule="auto"/>
      <w:ind w:firstLine="562" w:firstLineChars="200"/>
    </w:pPr>
    <w:rPr>
      <w:rFonts w:asciiTheme="minorHAnsi" w:hAnsiTheme="minorHAnsi" w:eastAsiaTheme="minorEastAsia" w:cstheme="minorBidi"/>
      <w:b/>
      <w:sz w:val="28"/>
      <w:szCs w:val="28"/>
    </w:rPr>
  </w:style>
  <w:style w:type="paragraph" w:customStyle="1" w:styleId="13">
    <w:name w:val="表格"/>
    <w:basedOn w:val="10"/>
    <w:qFormat/>
    <w:uiPriority w:val="0"/>
    <w:pPr>
      <w:spacing w:line="240" w:lineRule="auto"/>
      <w:ind w:firstLine="0" w:firstLineChars="0"/>
    </w:pPr>
    <w:rPr>
      <w:sz w:val="21"/>
      <w:szCs w:val="21"/>
    </w:rPr>
  </w:style>
  <w:style w:type="character" w:customStyle="1" w:styleId="14">
    <w:name w:val="批注框文本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915398-D422-493D-8EF3-85768F9B4450}">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425</Words>
  <Characters>2423</Characters>
  <Lines>20</Lines>
  <Paragraphs>5</Paragraphs>
  <ScaleCrop>false</ScaleCrop>
  <LinksUpToDate>false</LinksUpToDate>
  <CharactersWithSpaces>2843</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2016-06-28T02:47:00Z</dcterms:created>
  <dc:creator>lenovo</dc:creator>
  <cp:lastModifiedBy>lenovo</cp:lastModifiedBy>
  <cp:lastPrinted>2016-06-29T02:13:00Z</cp:lastPrinted>
  <dcterms:modified xsi:type="dcterms:W3CDTF">2017-03-28T06:38:12Z</dcterms:modified>
  <cp:revision>198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